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5CA99" w14:textId="4B60CCFC" w:rsidR="006F77D6" w:rsidRPr="00E54BDB" w:rsidRDefault="0053786F" w:rsidP="008E362F">
      <w:pPr>
        <w:bidi/>
        <w:spacing w:line="360" w:lineRule="auto"/>
        <w:jc w:val="center"/>
        <w:outlineLvl w:val="0"/>
        <w:rPr>
          <w:rFonts w:ascii="Verdana" w:hAnsi="Verdana"/>
          <w:sz w:val="36"/>
          <w:szCs w:val="36"/>
          <w:lang w:val="en-GB"/>
        </w:rPr>
      </w:pPr>
      <w:r w:rsidRPr="00E54BDB">
        <w:rPr>
          <w:rFonts w:ascii="Verdana" w:hAnsi="Verdana"/>
          <w:noProof/>
          <w:color w:val="0000FF"/>
          <w:lang w:val="en-GB" w:eastAsia="en-GB"/>
        </w:rPr>
        <w:drawing>
          <wp:inline distT="0" distB="0" distL="0" distR="0" wp14:anchorId="051A18CA" wp14:editId="29238A44">
            <wp:extent cx="1771650" cy="657225"/>
            <wp:effectExtent l="0" t="0" r="0" b="9525"/>
            <wp:docPr id="1" name="logo" descr="Newcastle University shield 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Newcastle University shield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03F" w:rsidRPr="00E54BDB">
        <w:rPr>
          <w:noProof/>
          <w:lang w:val="en-GB" w:eastAsia="en-GB"/>
        </w:rPr>
        <w:drawing>
          <wp:inline distT="0" distB="0" distL="0" distR="0" wp14:anchorId="75779378" wp14:editId="422E9C75">
            <wp:extent cx="1724025" cy="1394773"/>
            <wp:effectExtent l="0" t="0" r="0" b="0"/>
            <wp:docPr id="2" name="Picture 2" descr="C:\Users\Jalal Hasan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lal Hasan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24" cy="141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2E8A" w14:textId="77777777" w:rsidR="008E362F" w:rsidRPr="00E54BDB" w:rsidRDefault="008E36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</w:p>
    <w:p w14:paraId="295158A3" w14:textId="77777777" w:rsidR="008E362F" w:rsidRPr="00E54BDB" w:rsidRDefault="008E36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</w:p>
    <w:p w14:paraId="70F354B4" w14:textId="1AE048B0" w:rsidR="006F77D6" w:rsidRPr="00E54BDB" w:rsidRDefault="00E110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  <w:t>منتدی للمداولة حول مستقبل الحوکمة في کرکوک</w:t>
      </w:r>
    </w:p>
    <w:p w14:paraId="42056C49" w14:textId="77D79637" w:rsidR="006F77D6" w:rsidRPr="00E54BDB" w:rsidRDefault="006F77D6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rtl/>
          <w:lang w:val="en-GB"/>
        </w:rPr>
      </w:pPr>
    </w:p>
    <w:p w14:paraId="24AAA602" w14:textId="41AF4F1A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rtl/>
          <w:lang w:val="en-GB"/>
        </w:rPr>
      </w:pPr>
    </w:p>
    <w:p w14:paraId="7D7A7102" w14:textId="675C1685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جامعة کرکوک</w:t>
      </w:r>
    </w:p>
    <w:p w14:paraId="52D8CDDF" w14:textId="26CCC425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lang w:val="en-GB" w:bidi="ku-Arab-IQ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کلیة التربیة للعلوم الإنسانیة</w:t>
      </w:r>
    </w:p>
    <w:p w14:paraId="6517FFC3" w14:textId="77777777" w:rsidR="006F77D6" w:rsidRPr="00E54BDB" w:rsidRDefault="006F77D6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lang w:val="en-GB" w:bidi="ku-Arab-IQ"/>
        </w:rPr>
      </w:pPr>
    </w:p>
    <w:p w14:paraId="0035A98F" w14:textId="2A6F5368" w:rsidR="006F77D6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iCs/>
          <w:sz w:val="32"/>
          <w:szCs w:val="32"/>
          <w:lang w:val="en-GB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نیسان ٢٠١٧</w:t>
      </w:r>
    </w:p>
    <w:p w14:paraId="75DEAA0D" w14:textId="7A772268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u w:val="single"/>
          <w:lang w:val="en-GB"/>
        </w:rPr>
      </w:pPr>
    </w:p>
    <w:p w14:paraId="08B64099" w14:textId="69A35B90" w:rsidR="006F77D6" w:rsidRPr="00E54BDB" w:rsidRDefault="00272743" w:rsidP="00421187">
      <w:pPr>
        <w:shd w:val="clear" w:color="auto" w:fill="DEEAF6" w:themeFill="accent1" w:themeFillTint="33"/>
        <w:autoSpaceDE w:val="0"/>
        <w:autoSpaceDN w:val="0"/>
        <w:bidi/>
        <w:adjustRightInd w:val="0"/>
        <w:spacing w:after="0" w:line="360" w:lineRule="auto"/>
        <w:jc w:val="center"/>
        <w:rPr>
          <w:rFonts w:ascii="Noto Naskh Arabic UI" w:hAnsi="Noto Naskh Arabic UI" w:cs="Noto Naskh Arabic UI"/>
          <w:sz w:val="32"/>
          <w:szCs w:val="32"/>
          <w:lang w:val="en-GB"/>
        </w:rPr>
      </w:pPr>
      <w:r w:rsidRPr="00E54BDB">
        <w:rPr>
          <w:rFonts w:ascii="Noto Naskh Arabic UI" w:hAnsi="Noto Naskh Arabic UI" w:cs="Noto Naskh Arabic UI"/>
          <w:sz w:val="32"/>
          <w:szCs w:val="32"/>
          <w:rtl/>
          <w:lang w:val="en-GB"/>
        </w:rPr>
        <w:t>ملاحظات للمشاركين</w:t>
      </w:r>
    </w:p>
    <w:p w14:paraId="52D8D093" w14:textId="14D641D2" w:rsidR="006F77D6" w:rsidRPr="00E54BDB" w:rsidRDefault="006F77D6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0516F7D8" w14:textId="11CE63C1" w:rsidR="008E362F" w:rsidRPr="00E54BDB" w:rsidRDefault="008E362F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35D59025" w14:textId="77777777" w:rsidR="008E362F" w:rsidRPr="00E54BDB" w:rsidRDefault="008E362F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49EBD11B" w14:textId="0CB6B1D7" w:rsidR="008E362F" w:rsidRPr="00E54BDB" w:rsidRDefault="008E362F" w:rsidP="00E54BDB">
      <w:pPr>
        <w:pStyle w:val="Heading2"/>
        <w:bidi/>
        <w:jc w:val="center"/>
        <w:rPr>
          <w:rFonts w:ascii="Noto Naskh Arabic UI" w:hAnsi="Noto Naskh Arabic UI" w:cs="Noto Naskh Arabic UI"/>
          <w:rtl/>
          <w:lang w:val="en-GB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مقدمة</w:t>
      </w:r>
    </w:p>
    <w:p w14:paraId="57D1331C" w14:textId="2D50B63F" w:rsidR="008E362F" w:rsidRPr="00E54BDB" w:rsidRDefault="008E362F" w:rsidP="0054397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8"/>
          <w:szCs w:val="28"/>
          <w:rtl/>
          <w:lang w:val="en-GB"/>
        </w:rPr>
      </w:pP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كركوك مدينة غنية بالنفط. و هذە المنطقة معروف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ة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أيضا 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بالتنوع الإثني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واللغوي والديني والثقافي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.</w:t>
      </w:r>
      <w:r w:rsid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عاشت الجماعات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إثن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و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الدينية</w:t>
      </w:r>
      <w:r w:rsid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</w:t>
      </w:r>
      <w:r w:rsidR="00E54BDB">
        <w:rPr>
          <w:rFonts w:ascii="Noto Naskh Arabic UI" w:hAnsi="Noto Naskh Arabic UI" w:cs="Calibri" w:hint="cs"/>
          <w:sz w:val="28"/>
          <w:szCs w:val="28"/>
          <w:rtl/>
          <w:lang w:val="en-GB"/>
        </w:rPr>
        <w:t>(المکونات)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في المدينة بسلام لعدة قرون. ومع ذلك، فإن 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هناک الیوم منافسة شدیدة للسيطرة على كركوك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من قبل جماعاتها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إثن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من جهة، والحكومة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إتحاد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في بغداد و</w:t>
      </w:r>
      <w:r w:rsidR="00E54BDB" w:rsidRPr="00E54BDB">
        <w:rPr>
          <w:rFonts w:ascii="Noto Naskh Arabic UI" w:hAnsi="Noto Naskh Arabic UI" w:cs="Noto Naskh Arabic UI"/>
          <w:sz w:val="28"/>
          <w:szCs w:val="28"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حكومة إقليم ك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و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ردس</w:t>
      </w:r>
      <w:bookmarkStart w:id="0" w:name="_GoBack"/>
      <w:bookmarkEnd w:id="0"/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تان من جهة أخرى. وعلى وجه الخصوص، ظلت مسألة كيفية إدارة المدينة غير مستقرة. هذا النزاع يشكل تهديدا للسلام في كركوك والاستقرار في البلد ككل.</w:t>
      </w:r>
    </w:p>
    <w:p w14:paraId="450C0EB2" w14:textId="0C6C5732" w:rsidR="00A27F58" w:rsidRPr="00E54BDB" w:rsidRDefault="000019CB" w:rsidP="007B2B82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8"/>
          <w:szCs w:val="28"/>
          <w:lang w:val="en-GB"/>
        </w:rPr>
      </w:pP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والغرض من هذا المنتدی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التداولي هو إتاحة الفرصة لك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لمناقشة الخيارات المتعلقة بحكم كركوك في بيئة آمنة 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بناءة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.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نريد أن نعرف رأيك 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نأمل أن يساعد كتيب المعلومات هذا في تو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جيه مداولاتك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. 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في نهاية مداولاتكم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، نود أن نطلب منك ملء الاستبيان نفسه الذي 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ملئتە سابقا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>.</w:t>
      </w:r>
    </w:p>
    <w:p w14:paraId="70F31814" w14:textId="758D0178" w:rsidR="001156A8" w:rsidRDefault="001156A8" w:rsidP="008E362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3D7E5546" w14:textId="329A41DC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2DD702F" w14:textId="64259E0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122D56E8" w14:textId="706BB142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E7C2CE8" w14:textId="2CD3AAE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F504C0A" w14:textId="5681F99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3510D84" w14:textId="67805DD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29DCA1E" w14:textId="3A5FAAC7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032771E2" w14:textId="1B48998F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B37CE1B" w14:textId="36EAB36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4F16F33" w14:textId="1D43F03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2641F8A" w14:textId="661AC0A1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2B5CD5FA" w14:textId="2389AA7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735D7E7B" w14:textId="64CA1A0F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3856A883" w14:textId="6F8B751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418DD55" w14:textId="58EFF333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7CDCEE9" w14:textId="0D87B7DC" w:rsidR="00C82CF9" w:rsidRPr="00E54BDB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</w:rPr>
      </w:pPr>
    </w:p>
    <w:p w14:paraId="33578168" w14:textId="352F828F" w:rsidR="00750CDA" w:rsidRPr="00C82CF9" w:rsidRDefault="002D4586" w:rsidP="00C82CF9">
      <w:pPr>
        <w:pStyle w:val="Heading2"/>
        <w:bidi/>
        <w:jc w:val="center"/>
        <w:rPr>
          <w:rFonts w:ascii="Noto Naskh Arabic UI" w:hAnsi="Noto Naskh Arabic UI" w:cs="Noto Naskh Arabic UI"/>
          <w:lang w:val="en-GB" w:bidi="ar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الوضع في کرکوک</w:t>
      </w:r>
    </w:p>
    <w:p w14:paraId="0D7E57B9" w14:textId="5DEC1106" w:rsidR="00295DED" w:rsidRPr="00C82CF9" w:rsidRDefault="00295DED" w:rsidP="00C82CF9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الوضع في كركوك معقد، لذلك دعونا نبدأ ببعض المعلومات الواقعية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7264D582" w14:textId="77777777" w:rsidR="00295DED" w:rsidRPr="00E54BDB" w:rsidRDefault="00295DED" w:rsidP="00E54BDB">
      <w:pPr>
        <w:bidi/>
        <w:rPr>
          <w:rFonts w:ascii="Noto Naskh Arabic UI" w:hAnsi="Noto Naskh Arabic UI" w:cs="Noto Naskh Arabic UI"/>
          <w:sz w:val="36"/>
          <w:szCs w:val="36"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المعلومات السكانية</w:t>
      </w:r>
    </w:p>
    <w:p w14:paraId="687B88A8" w14:textId="11F270BD" w:rsidR="008B3DD0" w:rsidRPr="00C82CF9" w:rsidRDefault="00295DED" w:rsidP="00C82CF9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إن مناقشة الإحصاءات السكانية في كركوك مسألة حساسة، خاصة في ظل غياب بيانات تعداد شاملة</w:t>
      </w:r>
      <w:r w:rsidR="000A68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و رسمیة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في عام 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٢٠١١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قدرت الأمم المتحدة مجموع سكان كركوك إلى أكثر من </w:t>
      </w:r>
      <w:r w:rsidR="003A317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٩٠٠،٠٠٠</w:t>
      </w:r>
      <w:r w:rsidR="00E54BD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شخ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ص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  <w:r w:rsidR="00E54BDB" w:rsidRPr="00C82CF9">
        <w:rPr>
          <w:rStyle w:val="FootnoteReference"/>
          <w:rFonts w:ascii="Noto Naskh Arabic UI" w:hAnsi="Noto Naskh Arabic UI" w:cs="Noto Naskh Arabic UI"/>
          <w:sz w:val="24"/>
          <w:szCs w:val="24"/>
          <w:rtl/>
          <w:lang w:val="en-GB" w:bidi="ar"/>
        </w:rPr>
        <w:footnoteReference w:id="1"/>
      </w:r>
      <w:r w:rsidR="00E94686" w:rsidRPr="00C82CF9">
        <w:rPr>
          <w:rFonts w:ascii="Noto Naskh Arabic UI" w:hAnsi="Noto Naskh Arabic UI" w:cs="Noto Naskh Arabic UI"/>
          <w:sz w:val="24"/>
          <w:szCs w:val="24"/>
          <w:lang w:val="en-GB" w:bidi="ar"/>
        </w:rPr>
        <w:t xml:space="preserve"> </w:t>
      </w:r>
    </w:p>
    <w:p w14:paraId="15DBD434" w14:textId="0EB73945" w:rsidR="00056B76" w:rsidRPr="00C82CF9" w:rsidRDefault="00F35A58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أکثر تعقیدا من هذا  هو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تقدير حجم كل مجموعة إثنية 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کونات في کرکوک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مع ذل</w:t>
      </w:r>
      <w:r>
        <w:rPr>
          <w:rFonts w:ascii="Noto Naskh Arabic UI" w:hAnsi="Noto Naskh Arabic UI" w:cs="Noto Naskh Arabic UI"/>
          <w:sz w:val="24"/>
          <w:szCs w:val="24"/>
          <w:rtl/>
          <w:lang w:val="en-GB"/>
        </w:rPr>
        <w:t>ك، فإن النتائج الانتخابية تعطي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نا بعض المؤشرات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قد أجريت ثلاثة انتخابات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جالس المحافظات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٢٠٠٩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٢٠١٣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)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في العراق، ولكن كركوك، شاركت فقط في انتخابات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في تلك الانتخابات، فاز ال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کور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د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 ٢٦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مقعدا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من أصل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٤١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٦٣٪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المقاعد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فاز التركمان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ب ٩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مقاعد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٢٢٪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وفاز العرب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 ٦ مقعدا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١٥٪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 (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على الرغم من انخفاض نسبة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إقبال عرب السنة 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على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الإنتخابات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).</w:t>
      </w:r>
    </w:p>
    <w:p w14:paraId="218891D8" w14:textId="0483A8CA" w:rsidR="00056B76" w:rsidRPr="00E54BDB" w:rsidRDefault="00F921F3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center"/>
        <w:rPr>
          <w:rFonts w:ascii="Unikurd Goran" w:hAnsi="Unikurd Goran" w:cs="Unikurd Goran"/>
          <w:sz w:val="28"/>
          <w:szCs w:val="28"/>
          <w:lang w:val="en-GB" w:bidi="ar"/>
        </w:rPr>
      </w:pPr>
      <w:r w:rsidRPr="00E54BDB">
        <w:rPr>
          <w:rFonts w:ascii="Unikurd Goran" w:hAnsi="Unikurd Goran" w:cs="Unikurd Goran"/>
          <w:sz w:val="28"/>
          <w:szCs w:val="28"/>
          <w:rtl/>
          <w:lang w:val="en-GB"/>
        </w:rPr>
        <w:t>نتائج انتخابات مجلس المحافظات في كركوك، کانون الثاني ٢٠٠٥</w:t>
      </w:r>
    </w:p>
    <w:tbl>
      <w:tblPr>
        <w:tblStyle w:val="PlainTable1"/>
        <w:bidiVisual/>
        <w:tblW w:w="9376" w:type="dxa"/>
        <w:tblLook w:val="04A0" w:firstRow="1" w:lastRow="0" w:firstColumn="1" w:lastColumn="0" w:noHBand="0" w:noVBand="1"/>
      </w:tblPr>
      <w:tblGrid>
        <w:gridCol w:w="4238"/>
        <w:gridCol w:w="2999"/>
        <w:gridCol w:w="2139"/>
      </w:tblGrid>
      <w:tr w:rsidR="00F921F3" w:rsidRPr="00E54BDB" w14:paraId="6E47BB98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1D54753F" w14:textId="31B0386C" w:rsidR="00F921F3" w:rsidRPr="00E54BDB" w:rsidRDefault="00F921F3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الأحزاب و الکیانات</w:t>
            </w:r>
          </w:p>
        </w:tc>
        <w:tc>
          <w:tcPr>
            <w:tcW w:w="2999" w:type="dxa"/>
            <w:vAlign w:val="center"/>
          </w:tcPr>
          <w:p w14:paraId="4C22A6EF" w14:textId="53AD9703" w:rsidR="00F921F3" w:rsidRPr="00E54BDB" w:rsidRDefault="00F921F3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عدد الأصوات</w:t>
            </w:r>
          </w:p>
        </w:tc>
        <w:tc>
          <w:tcPr>
            <w:tcW w:w="2139" w:type="dxa"/>
            <w:vAlign w:val="center"/>
          </w:tcPr>
          <w:p w14:paraId="686B0FBD" w14:textId="1612630C" w:rsidR="00F921F3" w:rsidRPr="00E54BDB" w:rsidRDefault="00F921F3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عدد المقاعد</w:t>
            </w:r>
          </w:p>
        </w:tc>
      </w:tr>
      <w:tr w:rsidR="00F921F3" w:rsidRPr="00E54BDB" w14:paraId="4DDBEB76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0F4B2AD" w14:textId="678F952D" w:rsidR="00F921F3" w:rsidRPr="00C82CF9" w:rsidRDefault="00F921F3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كركوك المتآخية</w:t>
            </w:r>
          </w:p>
        </w:tc>
        <w:tc>
          <w:tcPr>
            <w:tcW w:w="2999" w:type="dxa"/>
            <w:vAlign w:val="center"/>
          </w:tcPr>
          <w:p w14:paraId="56776572" w14:textId="7C5064CC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٢٣٧،٣٠٣</w:t>
            </w:r>
          </w:p>
        </w:tc>
        <w:tc>
          <w:tcPr>
            <w:tcW w:w="2139" w:type="dxa"/>
            <w:vAlign w:val="center"/>
          </w:tcPr>
          <w:p w14:paraId="3D7BB502" w14:textId="4A25425A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٢٦</w:t>
            </w:r>
          </w:p>
        </w:tc>
      </w:tr>
      <w:tr w:rsidR="00F921F3" w:rsidRPr="00E54BDB" w14:paraId="56537243" w14:textId="77777777" w:rsidTr="00C82CF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08E4F0A0" w14:textId="45978237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جبهة تركمان العراق</w:t>
            </w:r>
          </w:p>
        </w:tc>
        <w:tc>
          <w:tcPr>
            <w:tcW w:w="2999" w:type="dxa"/>
            <w:vAlign w:val="center"/>
          </w:tcPr>
          <w:p w14:paraId="51EFED09" w14:textId="0FE82756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٧٣،٧٩١</w:t>
            </w:r>
          </w:p>
        </w:tc>
        <w:tc>
          <w:tcPr>
            <w:tcW w:w="2139" w:type="dxa"/>
            <w:vAlign w:val="center"/>
          </w:tcPr>
          <w:p w14:paraId="7C6553F9" w14:textId="126F56AE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٨</w:t>
            </w:r>
          </w:p>
        </w:tc>
      </w:tr>
      <w:tr w:rsidR="00F921F3" w:rsidRPr="00E54BDB" w14:paraId="774DBC4D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A536974" w14:textId="43C129CE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التجمع الجمهوري العراقي (العرب السنة)</w:t>
            </w:r>
          </w:p>
        </w:tc>
        <w:tc>
          <w:tcPr>
            <w:tcW w:w="2999" w:type="dxa"/>
            <w:vAlign w:val="center"/>
          </w:tcPr>
          <w:p w14:paraId="4D015D4F" w14:textId="355E5DE0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٤٣،٦٣٥</w:t>
            </w:r>
          </w:p>
        </w:tc>
        <w:tc>
          <w:tcPr>
            <w:tcW w:w="2139" w:type="dxa"/>
            <w:vAlign w:val="center"/>
          </w:tcPr>
          <w:p w14:paraId="48657531" w14:textId="545D1ED6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٥</w:t>
            </w:r>
          </w:p>
        </w:tc>
      </w:tr>
      <w:tr w:rsidR="00F921F3" w:rsidRPr="00E54BDB" w14:paraId="1578F307" w14:textId="77777777" w:rsidTr="00C82CF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7C3DDE90" w14:textId="279192C9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الإئتلاف الإسلامي التركماني</w:t>
            </w:r>
          </w:p>
        </w:tc>
        <w:tc>
          <w:tcPr>
            <w:tcW w:w="2999" w:type="dxa"/>
            <w:vAlign w:val="center"/>
          </w:tcPr>
          <w:p w14:paraId="6C903F9C" w14:textId="587A1262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١٢،٦٧٨</w:t>
            </w:r>
          </w:p>
        </w:tc>
        <w:tc>
          <w:tcPr>
            <w:tcW w:w="2139" w:type="dxa"/>
            <w:vAlign w:val="center"/>
          </w:tcPr>
          <w:p w14:paraId="74E522E7" w14:textId="1374D87A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</w:t>
            </w:r>
          </w:p>
        </w:tc>
      </w:tr>
      <w:tr w:rsidR="00F921F3" w:rsidRPr="00E54BDB" w14:paraId="0FDE7432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C1017CD" w14:textId="2C8BF5AE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التجمع الوطني العراقي (العرب السنة)</w:t>
            </w:r>
          </w:p>
        </w:tc>
        <w:tc>
          <w:tcPr>
            <w:tcW w:w="2999" w:type="dxa"/>
            <w:vAlign w:val="center"/>
          </w:tcPr>
          <w:p w14:paraId="706DFF84" w14:textId="4C253297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١٢،٣٢٩</w:t>
            </w:r>
          </w:p>
        </w:tc>
        <w:tc>
          <w:tcPr>
            <w:tcW w:w="2139" w:type="dxa"/>
            <w:vAlign w:val="center"/>
          </w:tcPr>
          <w:p w14:paraId="46F0684F" w14:textId="04A186E8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</w:t>
            </w:r>
          </w:p>
        </w:tc>
      </w:tr>
    </w:tbl>
    <w:p w14:paraId="63CCD701" w14:textId="13B63B66" w:rsidR="00056B76" w:rsidRDefault="00056B76" w:rsidP="008E362F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highlight w:val="yellow"/>
          <w:rtl/>
        </w:rPr>
      </w:pPr>
    </w:p>
    <w:p w14:paraId="51116456" w14:textId="77777777" w:rsidR="00FF4AA5" w:rsidRPr="00E54BDB" w:rsidRDefault="00FF4AA5" w:rsidP="00FF4AA5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highlight w:val="yellow"/>
          <w:rtl/>
        </w:rPr>
      </w:pPr>
    </w:p>
    <w:p w14:paraId="4F666D26" w14:textId="7A67A7DC" w:rsidR="00F02132" w:rsidRPr="00E54BDB" w:rsidRDefault="00F02132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الناحیة الإقتصادیة</w:t>
      </w:r>
    </w:p>
    <w:p w14:paraId="55C11057" w14:textId="5628EB02" w:rsidR="00F921F3" w:rsidRPr="00C82CF9" w:rsidRDefault="00F02132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من الناحية النظرية، كركوك هي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إحدی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أغنى مدن العالم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 نفط كركوك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ثاني أكبر 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</w:t>
      </w:r>
      <w:r w:rsidR="00FF4AA5">
        <w:rPr>
          <w:rFonts w:ascii="Noto Naskh Arabic UI" w:hAnsi="Noto Naskh Arabic UI" w:cs="Noto Naskh Arabic UI"/>
          <w:sz w:val="24"/>
          <w:szCs w:val="24"/>
          <w:rtl/>
          <w:lang w:val="en-GB"/>
        </w:rPr>
        <w:t>نفط في البل</w:t>
      </w:r>
      <w:r w:rsidR="008650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د، و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حتوي على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احتياطيات النفط المؤكدة في العراق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ومن المتوقع أن يصل إنتاج 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ل كركوك إلى ذروته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بما يزيد قليلا عن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٥٠٠،٠٠٠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نصف ملیون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)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برميل يوميا </w:t>
      </w:r>
      <w:r w:rsidR="00FF4AA5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في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عام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٢٠٢٥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قبل أن يتراجع إلى أقل من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٢٠٠،٠٠٠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برميل يوميا في عام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٢٠٥٠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وعلى الرغم من وجود كميات كبيرة من النفط، لم تشهد محافظة كركوك فائدة اقتصادية تذكر من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نفطها و حقولها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195CCE7A" w14:textId="20902F33" w:rsidR="00A91002" w:rsidRPr="00C82CF9" w:rsidRDefault="005022DC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من الناحية المالية، ترتبط كركوك بعلاقات مؤسسية مع كل من بغداد</w:t>
      </w:r>
      <w:r w:rsidR="00794CC8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وحكومة إقليم كردستان وتعتمد عل</w:t>
      </w:r>
      <w:r w:rsidR="00794CC8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یهما في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دفع كل من موظفيها 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الحکوم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یی</w:t>
      </w:r>
      <w:r w:rsidR="000718A1" w:rsidRPr="00C82CF9">
        <w:rPr>
          <w:rFonts w:ascii="Noto Naskh Arabic UI" w:hAnsi="Noto Naskh Arabic UI" w:cs="Noto Naskh Arabic UI" w:hint="eastAsia"/>
          <w:sz w:val="24"/>
          <w:szCs w:val="24"/>
          <w:rtl/>
          <w:lang w:val="en-GB"/>
        </w:rPr>
        <w:t>ن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وإعادة بناء المدينة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ومنذ عام </w:t>
      </w:r>
      <w:r w:rsidR="002F367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٢٠٠٦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استخدمت بغداد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مشروع تنمیة الأقالیم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لتحويل المنح من الميزانية الاتحادية إلى الم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حافظا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وكان الهدف هو تيسير المشاريع القصيرة الأجل بالتوازي مع مبادرات الميزانية الأطول أجلا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التي تنفذها الوزارات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ومن ناحية أخرى،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أن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ح</w:t>
      </w:r>
      <w:r w:rsidR="00054816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كومة إقليم كردستان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قدمت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الدعم المالي لتطوير مشاريع مختلفة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على سبيل المثال، وفقا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لإحدی التقا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رير، من أصل ما مجموعه حوالي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١٣٩٠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مدرسة في محافظة كركوك، تم تمويل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٤٦٠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منها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(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حيث المناهج الدراسية والتعليم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هي باللغة ال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كردية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بالکامل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)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قبل حكومة إقليم كردستان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وهذا يعني أن كل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الحکومة الإتحادیة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حكومة إقليم كردستان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بدلا من مجلس محافظة كرك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وك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هما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أكثر تأثيرا عندما يتعلق الأمر بتعيين الموظفين </w:t>
      </w:r>
      <w:bookmarkStart w:id="1" w:name="_Hlk478400046"/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الحکومیین</w:t>
      </w:r>
      <w:bookmarkEnd w:id="1"/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واجهت كركوك أزمة مالية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بسبب انخفاض أسعار النفط و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رتفاع الإنفاق العسكري العراقي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لقتال ضد داعش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وقد أوقفت الحكومة المركزية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مشروع تنمیة الأقالیم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منذ آب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تلبية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حتياجاتها المالية، تعتمد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مجلس محافظة کرکوک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حاليا على كل من بغداد وحكومة إقليم كردستان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0B5C5B26" w14:textId="77777777" w:rsidR="004A42D9" w:rsidRPr="00E54BDB" w:rsidRDefault="004A42D9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الوضع القانوني</w:t>
      </w:r>
    </w:p>
    <w:p w14:paraId="0F6AAFF1" w14:textId="0EB8D0E3" w:rsidR="004A42D9" w:rsidRPr="00C82CF9" w:rsidRDefault="004A42D9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تغیر عدد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سكان كركوك بشكل كبير نتيجة لسياسات الأنظمة العراقية المختلفة، مما أدى بدوره إلى توترات بين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المکونات الإثنیة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في كركوك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تهدف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٥٨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</w:t>
      </w:r>
      <w:bookmarkStart w:id="2" w:name="_Hlk478402004"/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القانون الإداري الانتقالي </w:t>
      </w:r>
      <w:bookmarkEnd w:id="2"/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لعام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إلى معالجة هذا التوتر و تطبيع الوضع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ويحدد القانون عددا من الخطوات بما في ذلك عودة النازحين، واستعادة ممتلكاتهم ومنازلهم، و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تعکیس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التغييرات الحدودية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6A76BEE0" w14:textId="1CB68670" w:rsidR="00F64AC4" w:rsidRPr="00C82CF9" w:rsidRDefault="00F64AC4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وفي عام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أ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عتمد الدستور العراقي الجديد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في أستفتاء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وص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دق عليه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الناس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قد حلت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١٤٠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محل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٥٨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القانون الإداري الانتقالي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تتضمن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المادة ١٤٠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أحكاما للتعداد والاستفتاء على الوضع الدستوري لكركوك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lastRenderedPageBreak/>
        <w:t xml:space="preserve">ولا تزال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معنی بعض کلماتها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وتوقيت الاستفتاء قيد التفاوض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مع ذلك، قد يؤدي ذلك إلى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حد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الخيارات الثلاثة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التالیة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6F1830CF" w14:textId="642107F5" w:rsidR="00F64AC4" w:rsidRPr="00E54BDB" w:rsidRDefault="00F64AC4" w:rsidP="00E54BDB">
      <w:pPr>
        <w:pStyle w:val="Heading2"/>
        <w:bidi/>
        <w:jc w:val="center"/>
        <w:rPr>
          <w:rFonts w:ascii="Noto Naskh Arabic UI" w:hAnsi="Noto Naskh Arabic UI" w:cs="Noto Naskh Arabic UI"/>
          <w:rtl/>
          <w:lang w:val="en-GB" w:bidi="ar"/>
        </w:rPr>
      </w:pPr>
      <w:r w:rsidRPr="00E54BDB">
        <w:rPr>
          <w:rFonts w:ascii="Noto Naskh Arabic UI" w:hAnsi="Noto Naskh Arabic UI" w:cs="Noto Naskh Arabic UI"/>
          <w:rtl/>
          <w:lang w:val="en-GB"/>
        </w:rPr>
        <w:t>الخيارات</w:t>
      </w:r>
    </w:p>
    <w:p w14:paraId="0E155BC8" w14:textId="77777777" w:rsidR="00F64AC4" w:rsidRPr="00C82CF9" w:rsidRDefault="00F64AC4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هناك ثلاثة خيارات رئيسية لحكم كركوك والتي هي مقبولة دستوريا</w:t>
      </w:r>
      <w:r w:rsidRPr="00C82CF9">
        <w:rPr>
          <w:rFonts w:ascii="Noto Naskh Arabic UI" w:hAnsi="Noto Naskh Arabic UI" w:cs="Noto Naskh Arabic UI"/>
          <w:sz w:val="24"/>
          <w:szCs w:val="24"/>
          <w:lang w:val="en-GB" w:bidi="ar"/>
        </w:rPr>
        <w:t>:</w:t>
      </w:r>
    </w:p>
    <w:p w14:paraId="646EAE64" w14:textId="52A278DD" w:rsidR="00F64AC4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محافظة تحت سلطة الحكومة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الإتحادیة</w:t>
      </w:r>
    </w:p>
    <w:p w14:paraId="05252F03" w14:textId="7FD06783" w:rsidR="00F64AC4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أن تصبح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مستقل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</w:p>
    <w:p w14:paraId="76FB73F4" w14:textId="5BFB25CB" w:rsidR="005C331F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الانضمام إلى إقليم كردستان</w:t>
      </w:r>
    </w:p>
    <w:p w14:paraId="78115C50" w14:textId="59BFE758" w:rsidR="004576F9" w:rsidRPr="00E54BDB" w:rsidRDefault="004576F9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الخيار الأول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 xml:space="preserve">محافظة تحت سلطة الحكومة </w:t>
      </w:r>
      <w:r w:rsidR="00FB43C7"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الإتحادیة</w:t>
      </w:r>
    </w:p>
    <w:p w14:paraId="4F81D83D" w14:textId="15623D91" w:rsidR="005C331F" w:rsidRPr="00C82CF9" w:rsidRDefault="004576F9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بموجب هذا الخيار، سيتم الإبقاء على الترتيبات القائمة لحكم كركوك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الخيار القائم على الوضع الراهن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).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أي أن المحافظة ستظل في نهاية المطاف تحت سيطرة بغداد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ومع ذلك، فإن مجلس محافظة كركوك سوف يتمتع بسلطات معينة، بما في ذلك القدرة على وضع السياسات وتمرير القوانين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المحلية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والموافقة على الخطط الأمنية </w:t>
      </w:r>
      <w:r w:rsidR="00FB43C7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المحلية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تبني رموز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للمحافظة، وجمع الضرائب والرسوم وا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لأجور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وعلاوة على ذلك، وفيما يتعلق بالصلاحيات المشتركة بين الحكومة الاتحادية ومجلس المقاطعة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في حالة نشوب نزاع بینهما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 ستظل الأولوية للقوانين التي يصدرها المجلس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E54BDB" w14:paraId="315700CD" w14:textId="77777777" w:rsidTr="00FB4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3518104" w14:textId="10E1358B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الإیجابیات</w:t>
            </w:r>
          </w:p>
        </w:tc>
        <w:tc>
          <w:tcPr>
            <w:tcW w:w="4508" w:type="dxa"/>
            <w:vAlign w:val="center"/>
          </w:tcPr>
          <w:p w14:paraId="28CF3CAA" w14:textId="2397D3B3" w:rsidR="005C331F" w:rsidRPr="00C82CF9" w:rsidRDefault="00FB43C7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السلبیات</w:t>
            </w:r>
          </w:p>
        </w:tc>
      </w:tr>
      <w:tr w:rsidR="005C331F" w:rsidRPr="00E54BDB" w14:paraId="49269E40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1C69767" w14:textId="32A6835F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یلزم إنشاء مؤسسات حکومیة جدیدة (حکومة إقلیم مثلا) و الإتفاق علیها</w:t>
            </w:r>
            <w:r w:rsidR="005C331F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  <w:vAlign w:val="center"/>
          </w:tcPr>
          <w:p w14:paraId="6AAB4FF0" w14:textId="09BA06BF" w:rsidR="005C331F" w:rsidRPr="00C82CF9" w:rsidRDefault="00FB43C7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ستظل كركوك تحت سيطرة الحكومة الاتحادية.</w:t>
            </w:r>
          </w:p>
        </w:tc>
      </w:tr>
      <w:tr w:rsidR="005C331F" w:rsidRPr="00E54BDB" w14:paraId="032DEEB6" w14:textId="77777777" w:rsidTr="00C82CF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991E4F3" w14:textId="58A6BFF9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يزال من حق كركوك الحصول على حصة عادلة من الإيرادات الوطنية.</w:t>
            </w:r>
          </w:p>
        </w:tc>
        <w:tc>
          <w:tcPr>
            <w:tcW w:w="4508" w:type="dxa"/>
            <w:vAlign w:val="center"/>
          </w:tcPr>
          <w:p w14:paraId="1D09271B" w14:textId="46743520" w:rsidR="005C331F" w:rsidRPr="00C82CF9" w:rsidRDefault="00FB43C7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لن يكون لدى كركوك السيطرة الكاملة على جمع الضرائب أو على السياسة النقدية والمالية بشكل عام</w:t>
            </w:r>
            <w:r w:rsidR="00560403"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.</w:t>
            </w:r>
          </w:p>
        </w:tc>
      </w:tr>
    </w:tbl>
    <w:p w14:paraId="2EA873BE" w14:textId="04651AF4" w:rsidR="00D567BE" w:rsidRPr="00E54BDB" w:rsidRDefault="00D567BE" w:rsidP="00D567BE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0030358A" w14:textId="601FC971" w:rsidR="00D567BE" w:rsidRPr="00E54BDB" w:rsidRDefault="00D567BE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الخيار </w:t>
      </w:r>
      <w:r w:rsid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الثاني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التحول إلى 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إقلیم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 مستقل</w:t>
      </w:r>
    </w:p>
    <w:p w14:paraId="02380E5E" w14:textId="32A0F7A6" w:rsidR="005C331F" w:rsidRPr="00C82CF9" w:rsidRDefault="00D567BE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وبموجب هذا الخيار، تتمتع كركوك بسلطات تنفيذية وتشريعية أكثر من كونها محافظة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وباعتبارها منطقة تتمتع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بسلطات 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فإنها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سوف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تتمتع بحقوق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فیدرالی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بدلا من مجرد اللامركزية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ويدرج دستور عام </w:t>
      </w:r>
      <w:r w:rsidR="00A76B58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السلطات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التي تتقاسمها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الحکومات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الاتحادية والإقليمية معا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وهي تشمل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: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إدارة الجمارك ومصادر الطاقة الكهربائية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lastRenderedPageBreak/>
        <w:t>وتوزيعها والبيئة والتنمية العامة والتخطيط والصحة العامة والتعليم والموارد المائية الداخلية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المادة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١١٤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، دستور العراق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). </w:t>
      </w:r>
      <w:r w:rsidR="006B76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في حالة حدوث أي نزاع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</w:t>
      </w:r>
      <w:r w:rsidR="006B76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تعطى الأولوية لقانون الإقليم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علی</w:t>
      </w:r>
      <w:r w:rsidR="00E54BD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القانون الاتحادي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C82CF9" w14:paraId="5D002424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BDE80" w14:textId="00293A27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الإیجابیات</w:t>
            </w:r>
          </w:p>
        </w:tc>
        <w:tc>
          <w:tcPr>
            <w:tcW w:w="4508" w:type="dxa"/>
          </w:tcPr>
          <w:p w14:paraId="7FE3B0BC" w14:textId="62830801" w:rsidR="005C331F" w:rsidRPr="00C82CF9" w:rsidRDefault="00074DD1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السلبیات</w:t>
            </w:r>
          </w:p>
        </w:tc>
      </w:tr>
      <w:tr w:rsidR="005C331F" w:rsidRPr="00C82CF9" w14:paraId="79A028AB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9775F0E" w14:textId="3CC62752" w:rsidR="005C331F" w:rsidRPr="00C82CF9" w:rsidRDefault="006B762A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سيسمح لكركوك بممارسة سيطرة أكبر على شؤونها الداخلية.</w:t>
            </w:r>
          </w:p>
        </w:tc>
        <w:tc>
          <w:tcPr>
            <w:tcW w:w="4508" w:type="dxa"/>
            <w:vAlign w:val="center"/>
          </w:tcPr>
          <w:p w14:paraId="23867E18" w14:textId="035A4886" w:rsidR="005C331F" w:rsidRPr="00C82CF9" w:rsidRDefault="006B762A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ستكون هناك حاجة إلى مؤسسات جديدة قد يصعب تصميمها والموافقة عليها</w:t>
            </w:r>
            <w:r w:rsidR="005C331F" w:rsidRPr="00C82CF9">
              <w:rPr>
                <w:rFonts w:ascii="Unikurd Goran" w:hAnsi="Unikurd Goran" w:cs="Unikurd Goran"/>
                <w:sz w:val="24"/>
                <w:szCs w:val="24"/>
              </w:rPr>
              <w:t>.</w:t>
            </w:r>
          </w:p>
        </w:tc>
      </w:tr>
      <w:tr w:rsidR="005C331F" w:rsidRPr="00C82CF9" w14:paraId="238B7D57" w14:textId="77777777" w:rsidTr="00C8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711AA38" w14:textId="228BFE0D" w:rsidR="005C331F" w:rsidRPr="00C82CF9" w:rsidRDefault="006B762A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ومن شأنە أن يقلل من الرغبة في الانفصال.</w:t>
            </w:r>
          </w:p>
        </w:tc>
        <w:tc>
          <w:tcPr>
            <w:tcW w:w="4508" w:type="dxa"/>
            <w:vAlign w:val="center"/>
          </w:tcPr>
          <w:p w14:paraId="6BBBED4C" w14:textId="3EBE61AA" w:rsidR="005C331F" w:rsidRPr="00C82CF9" w:rsidRDefault="006B762A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ربما تؤدي بالمحافظات الأخری للمطالبة بإقلیم أیضا</w:t>
            </w:r>
          </w:p>
        </w:tc>
      </w:tr>
    </w:tbl>
    <w:p w14:paraId="39542854" w14:textId="77777777" w:rsidR="005C331F" w:rsidRPr="00E54BDB" w:rsidRDefault="005C331F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p w14:paraId="31A5865D" w14:textId="77777777" w:rsidR="00074DD1" w:rsidRPr="00E54BDB" w:rsidRDefault="00074DD1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الخيار الثالث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الانضمام إلى إقليم كردستان</w:t>
      </w:r>
    </w:p>
    <w:p w14:paraId="5555F5C8" w14:textId="10C4F2BE" w:rsidR="005C331F" w:rsidRPr="00C82CF9" w:rsidRDefault="00074DD1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وبموجب هذا الخيار، ستبقى كركوك محافظة، ولكنها ستصبح جزءا من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 کوردستان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وباعتبارها محافظة في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هذا الإقلیم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فإن مجلس محافظة كركوك سيكون له نفس الصلاحيات التي يتمتع بها اليوم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تحت سلطة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الحکومة الإتحادیة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و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في نهاية المطاف، سيكون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تحت سلطة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تماما كما، في نهاية المطاف، هو مسؤول أمام بغداد الآن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E54BDB" w14:paraId="3F8EE331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C2E387" w14:textId="6FDC26EA" w:rsidR="005C331F" w:rsidRPr="00C82CF9" w:rsidRDefault="00927B65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الإیجابیات</w:t>
            </w:r>
          </w:p>
        </w:tc>
        <w:tc>
          <w:tcPr>
            <w:tcW w:w="4508" w:type="dxa"/>
          </w:tcPr>
          <w:p w14:paraId="189FA523" w14:textId="31BF865A" w:rsidR="005C331F" w:rsidRPr="00C82CF9" w:rsidRDefault="00927B65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السلبیات</w:t>
            </w:r>
          </w:p>
        </w:tc>
      </w:tr>
      <w:tr w:rsidR="005C331F" w:rsidRPr="00E54BDB" w14:paraId="0DD40809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80480B4" w14:textId="3B16E628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يلزم إنشاء مؤسسات حكومية جديدة والاتفاق عليها</w:t>
            </w:r>
            <w:r w:rsidR="005C331F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  <w:vAlign w:val="center"/>
          </w:tcPr>
          <w:p w14:paraId="7FCA455D" w14:textId="4920B7D4" w:rsidR="005C331F" w:rsidRPr="00C82CF9" w:rsidRDefault="00074DD1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فإنه من شأنه أن يغير التوازن بين المركز و</w:t>
            </w:r>
            <w:r w:rsidRPr="00C82CF9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المحافظات الاخری</w:t>
            </w:r>
          </w:p>
        </w:tc>
      </w:tr>
      <w:tr w:rsidR="005C331F" w:rsidRPr="00E54BDB" w14:paraId="0CE9C57F" w14:textId="77777777" w:rsidTr="00C8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A44EF81" w14:textId="261242C2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 xml:space="preserve">من شأن ذلك أن يعالج المظالم التاريخية </w:t>
            </w:r>
            <w:r w:rsidRPr="00C82CF9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الذي وقع علی الکورد</w:t>
            </w: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4508" w:type="dxa"/>
            <w:vAlign w:val="center"/>
          </w:tcPr>
          <w:p w14:paraId="61A4DE1C" w14:textId="3465C0FC" w:rsidR="005C331F" w:rsidRPr="00C82CF9" w:rsidRDefault="00074DD1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سيصبح العرب والت</w:t>
            </w:r>
            <w:r w:rsidR="00927B65" w:rsidRPr="00C82CF9">
              <w:rPr>
                <w:rFonts w:ascii="Unikurd Goran" w:hAnsi="Unikurd Goran" w:cs="Unikurd Goran" w:hint="cs"/>
                <w:sz w:val="24"/>
                <w:szCs w:val="24"/>
                <w:rtl/>
              </w:rPr>
              <w:t>و</w:t>
            </w: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ركمان أقليات داخل إقليم كردستان.</w:t>
            </w:r>
          </w:p>
        </w:tc>
      </w:tr>
    </w:tbl>
    <w:p w14:paraId="7F4A4D22" w14:textId="77777777" w:rsidR="005C331F" w:rsidRPr="00E54BDB" w:rsidRDefault="005C331F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p w14:paraId="607E13CD" w14:textId="77777777" w:rsidR="005C331F" w:rsidRPr="00E54BDB" w:rsidRDefault="005C331F" w:rsidP="008E362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highlight w:val="yellow"/>
          <w:lang w:bidi="ar-IQ"/>
        </w:rPr>
      </w:pPr>
    </w:p>
    <w:p w14:paraId="5FCA8274" w14:textId="77777777" w:rsidR="005C331F" w:rsidRPr="00E54BDB" w:rsidRDefault="005C331F" w:rsidP="008E362F">
      <w:pPr>
        <w:bidi/>
      </w:pPr>
    </w:p>
    <w:p w14:paraId="4187BBD1" w14:textId="77777777" w:rsidR="00C64D95" w:rsidRPr="00E54BDB" w:rsidRDefault="00C64D95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sectPr w:rsidR="00C64D95" w:rsidRPr="00E54BDB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DC7DA" w14:textId="77777777" w:rsidR="004465EE" w:rsidRDefault="004465EE" w:rsidP="00914C5B">
      <w:pPr>
        <w:spacing w:after="0" w:line="240" w:lineRule="auto"/>
      </w:pPr>
      <w:r>
        <w:separator/>
      </w:r>
    </w:p>
  </w:endnote>
  <w:endnote w:type="continuationSeparator" w:id="0">
    <w:p w14:paraId="699A1E7D" w14:textId="77777777" w:rsidR="004465EE" w:rsidRDefault="004465EE" w:rsidP="0091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Naskh Arabic UI">
    <w:altName w:val="Segoe UI Light"/>
    <w:panose1 w:val="020B0502040504020204"/>
    <w:charset w:val="00"/>
    <w:family w:val="swiss"/>
    <w:pitch w:val="variable"/>
    <w:sig w:usb0="00002001" w:usb1="80000000" w:usb2="00000008" w:usb3="00000000" w:csb0="00000041" w:csb1="00000000"/>
  </w:font>
  <w:font w:name="BemboBookMTPro-Regular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Unikurd Goran">
    <w:altName w:val="Tahoma"/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532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62A637" w14:textId="1AC76E23" w:rsidR="00C82CF9" w:rsidRDefault="00C82C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7EB" w:rsidRPr="00D977E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C3813F" w14:textId="77777777" w:rsidR="00C82CF9" w:rsidRDefault="00C82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7A730" w14:textId="77777777" w:rsidR="004465EE" w:rsidRDefault="004465EE" w:rsidP="00914C5B">
      <w:pPr>
        <w:spacing w:after="0" w:line="240" w:lineRule="auto"/>
      </w:pPr>
      <w:r>
        <w:separator/>
      </w:r>
    </w:p>
  </w:footnote>
  <w:footnote w:type="continuationSeparator" w:id="0">
    <w:p w14:paraId="62B3905C" w14:textId="77777777" w:rsidR="004465EE" w:rsidRDefault="004465EE" w:rsidP="00914C5B">
      <w:pPr>
        <w:spacing w:after="0" w:line="240" w:lineRule="auto"/>
      </w:pPr>
      <w:r>
        <w:continuationSeparator/>
      </w:r>
    </w:p>
  </w:footnote>
  <w:footnote w:id="1">
    <w:p w14:paraId="4D4C24E4" w14:textId="77777777" w:rsidR="00B32F5F" w:rsidRDefault="00E54BDB" w:rsidP="00B32F5F">
      <w:pPr>
        <w:autoSpaceDE w:val="0"/>
        <w:autoSpaceDN w:val="0"/>
        <w:adjustRightInd w:val="0"/>
        <w:spacing w:after="0" w:line="240" w:lineRule="auto"/>
        <w:rPr>
          <w:rFonts w:ascii="BemboBookMTPro-Regular" w:hAnsi="BemboBookMTPro-Regular" w:cs="BemboBookMTPro-Regular"/>
          <w:sz w:val="16"/>
          <w:szCs w:val="16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B32F5F">
        <w:rPr>
          <w:rFonts w:ascii="BemboBookMTPro-Regular" w:hAnsi="BemboBookMTPro-Regular" w:cs="BemboBookMTPro-Regular"/>
          <w:sz w:val="16"/>
          <w:szCs w:val="16"/>
          <w:lang w:val="en-GB"/>
        </w:rPr>
        <w:t>Inter-agency Information and Analysis Unit, Kirkuk Governorate Profile, http://www.iauiraq.org/reports/</w:t>
      </w:r>
    </w:p>
    <w:p w14:paraId="75297240" w14:textId="6D2795CD" w:rsidR="00E54BDB" w:rsidRPr="00113FE6" w:rsidRDefault="00B32F5F" w:rsidP="00113FE6">
      <w:pPr>
        <w:pStyle w:val="FootnoteText"/>
        <w:rPr>
          <w:rFonts w:ascii="BemboBookMTPro-Regular" w:hAnsi="BemboBookMTPro-Regular" w:cs="BemboBookMTPro-Regular"/>
          <w:sz w:val="16"/>
          <w:szCs w:val="16"/>
          <w:rtl/>
          <w:lang w:val="en-GB"/>
        </w:rPr>
      </w:pPr>
      <w:r>
        <w:rPr>
          <w:rFonts w:ascii="BemboBookMTPro-Regular" w:hAnsi="BemboBookMTPro-Regular" w:cs="BemboBookMTPro-Regular"/>
          <w:sz w:val="16"/>
          <w:szCs w:val="16"/>
          <w:lang w:val="en-GB"/>
        </w:rPr>
        <w:t xml:space="preserve">GP-Kirkuk.pdf, accessed </w:t>
      </w:r>
      <w:r>
        <w:rPr>
          <w:rFonts w:ascii="BemboBookMTPro-Regular" w:hAnsi="BemboBookMTPro-Regular" w:cs="BemboBookMTPro-Regular"/>
          <w:sz w:val="16"/>
          <w:szCs w:val="16"/>
          <w:highlight w:val="yellow"/>
          <w:lang w:val="en-GB"/>
        </w:rPr>
        <w:t>19 March 2010.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42DA1"/>
    <w:multiLevelType w:val="hybridMultilevel"/>
    <w:tmpl w:val="CE3EBE1A"/>
    <w:lvl w:ilvl="0" w:tplc="D4462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670A"/>
    <w:multiLevelType w:val="hybridMultilevel"/>
    <w:tmpl w:val="8A9E319A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5B603FBB"/>
    <w:multiLevelType w:val="hybridMultilevel"/>
    <w:tmpl w:val="3FE49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45248"/>
    <w:multiLevelType w:val="hybridMultilevel"/>
    <w:tmpl w:val="CE3EBE1A"/>
    <w:lvl w:ilvl="0" w:tplc="D4462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MjM1NDYwNTI1NTNS0lEKTi0uzszPAykwqwUAGydOjSwAAAA="/>
  </w:docVars>
  <w:rsids>
    <w:rsidRoot w:val="00A27F58"/>
    <w:rsid w:val="000019CB"/>
    <w:rsid w:val="00024FC5"/>
    <w:rsid w:val="00054816"/>
    <w:rsid w:val="00056B76"/>
    <w:rsid w:val="0006731A"/>
    <w:rsid w:val="000718A1"/>
    <w:rsid w:val="00074DD1"/>
    <w:rsid w:val="00074FE2"/>
    <w:rsid w:val="000A4EDD"/>
    <w:rsid w:val="000A6809"/>
    <w:rsid w:val="000B4D1D"/>
    <w:rsid w:val="000D5E21"/>
    <w:rsid w:val="000F17D8"/>
    <w:rsid w:val="000F603F"/>
    <w:rsid w:val="00113FE6"/>
    <w:rsid w:val="001156A8"/>
    <w:rsid w:val="00130BFB"/>
    <w:rsid w:val="001330CB"/>
    <w:rsid w:val="00144C2D"/>
    <w:rsid w:val="001F7F8C"/>
    <w:rsid w:val="00202B30"/>
    <w:rsid w:val="00250650"/>
    <w:rsid w:val="002670B6"/>
    <w:rsid w:val="00272743"/>
    <w:rsid w:val="00287941"/>
    <w:rsid w:val="00295DED"/>
    <w:rsid w:val="002C33EB"/>
    <w:rsid w:val="002D4586"/>
    <w:rsid w:val="002F1638"/>
    <w:rsid w:val="002F367D"/>
    <w:rsid w:val="00323750"/>
    <w:rsid w:val="00361CEE"/>
    <w:rsid w:val="00362974"/>
    <w:rsid w:val="00363072"/>
    <w:rsid w:val="00392475"/>
    <w:rsid w:val="0039617C"/>
    <w:rsid w:val="003A317D"/>
    <w:rsid w:val="003C47FF"/>
    <w:rsid w:val="003C712A"/>
    <w:rsid w:val="00421187"/>
    <w:rsid w:val="00434F8C"/>
    <w:rsid w:val="004422B0"/>
    <w:rsid w:val="004465EE"/>
    <w:rsid w:val="00450DF3"/>
    <w:rsid w:val="004576F9"/>
    <w:rsid w:val="004A145E"/>
    <w:rsid w:val="004A42D9"/>
    <w:rsid w:val="004C2551"/>
    <w:rsid w:val="005022DC"/>
    <w:rsid w:val="0053721A"/>
    <w:rsid w:val="0053786F"/>
    <w:rsid w:val="0054397B"/>
    <w:rsid w:val="005566A0"/>
    <w:rsid w:val="0055683D"/>
    <w:rsid w:val="00560403"/>
    <w:rsid w:val="005C331F"/>
    <w:rsid w:val="00611926"/>
    <w:rsid w:val="00614770"/>
    <w:rsid w:val="00665058"/>
    <w:rsid w:val="006B762A"/>
    <w:rsid w:val="006F77D6"/>
    <w:rsid w:val="0070792F"/>
    <w:rsid w:val="00727D84"/>
    <w:rsid w:val="00750CDA"/>
    <w:rsid w:val="00761873"/>
    <w:rsid w:val="00776685"/>
    <w:rsid w:val="00794CC8"/>
    <w:rsid w:val="007A5376"/>
    <w:rsid w:val="007A7F7C"/>
    <w:rsid w:val="007B2B82"/>
    <w:rsid w:val="007E3F10"/>
    <w:rsid w:val="0086502A"/>
    <w:rsid w:val="00873865"/>
    <w:rsid w:val="008A4BB6"/>
    <w:rsid w:val="008B3DD0"/>
    <w:rsid w:val="008B61A4"/>
    <w:rsid w:val="008E362F"/>
    <w:rsid w:val="008E674A"/>
    <w:rsid w:val="00914C5B"/>
    <w:rsid w:val="00927B65"/>
    <w:rsid w:val="00942BB6"/>
    <w:rsid w:val="009E580A"/>
    <w:rsid w:val="009F147B"/>
    <w:rsid w:val="00A23F95"/>
    <w:rsid w:val="00A27F58"/>
    <w:rsid w:val="00A325F0"/>
    <w:rsid w:val="00A76B58"/>
    <w:rsid w:val="00A91002"/>
    <w:rsid w:val="00AA2095"/>
    <w:rsid w:val="00AC2077"/>
    <w:rsid w:val="00B32F5F"/>
    <w:rsid w:val="00B378CF"/>
    <w:rsid w:val="00B81AE3"/>
    <w:rsid w:val="00BD0E91"/>
    <w:rsid w:val="00BD24C5"/>
    <w:rsid w:val="00C544E4"/>
    <w:rsid w:val="00C64D95"/>
    <w:rsid w:val="00C82CF9"/>
    <w:rsid w:val="00C83AC8"/>
    <w:rsid w:val="00CC56B8"/>
    <w:rsid w:val="00CE6204"/>
    <w:rsid w:val="00D048D8"/>
    <w:rsid w:val="00D31BB9"/>
    <w:rsid w:val="00D31BE3"/>
    <w:rsid w:val="00D403F8"/>
    <w:rsid w:val="00D567BE"/>
    <w:rsid w:val="00D75382"/>
    <w:rsid w:val="00D977EB"/>
    <w:rsid w:val="00DB421C"/>
    <w:rsid w:val="00DF570A"/>
    <w:rsid w:val="00E1102F"/>
    <w:rsid w:val="00E54BDB"/>
    <w:rsid w:val="00E608D8"/>
    <w:rsid w:val="00E945DC"/>
    <w:rsid w:val="00E94686"/>
    <w:rsid w:val="00E947A7"/>
    <w:rsid w:val="00EA04BF"/>
    <w:rsid w:val="00EC64FF"/>
    <w:rsid w:val="00ED7F6D"/>
    <w:rsid w:val="00F01A9E"/>
    <w:rsid w:val="00F02132"/>
    <w:rsid w:val="00F33955"/>
    <w:rsid w:val="00F35A58"/>
    <w:rsid w:val="00F41DC6"/>
    <w:rsid w:val="00F528E0"/>
    <w:rsid w:val="00F64AC4"/>
    <w:rsid w:val="00F921F3"/>
    <w:rsid w:val="00FB2BAC"/>
    <w:rsid w:val="00FB43C7"/>
    <w:rsid w:val="00FD2923"/>
    <w:rsid w:val="00FE0FB9"/>
    <w:rsid w:val="00FE7A20"/>
    <w:rsid w:val="00FF4434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1402E"/>
  <w15:docId w15:val="{7F8609DB-CDE4-4F7A-A852-4C228A27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F58"/>
  </w:style>
  <w:style w:type="paragraph" w:styleId="Heading2">
    <w:name w:val="heading 2"/>
    <w:basedOn w:val="Normal"/>
    <w:link w:val="Heading2Char"/>
    <w:qFormat/>
    <w:rsid w:val="006F7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7F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7F5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C5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14C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4C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4C5B"/>
    <w:rPr>
      <w:vertAlign w:val="superscript"/>
    </w:rPr>
  </w:style>
  <w:style w:type="table" w:styleId="TableGrid">
    <w:name w:val="Table Grid"/>
    <w:basedOn w:val="TableNormal"/>
    <w:uiPriority w:val="39"/>
    <w:rsid w:val="0005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6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0A4EDD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45DC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A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4A"/>
  </w:style>
  <w:style w:type="paragraph" w:styleId="Footer">
    <w:name w:val="footer"/>
    <w:basedOn w:val="Normal"/>
    <w:link w:val="FooterChar"/>
    <w:uiPriority w:val="99"/>
    <w:unhideWhenUsed/>
    <w:rsid w:val="008E6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4A"/>
  </w:style>
  <w:style w:type="character" w:customStyle="1" w:styleId="Heading2Char">
    <w:name w:val="Heading 2 Char"/>
    <w:basedOn w:val="DefaultParagraphFont"/>
    <w:link w:val="Heading2"/>
    <w:rsid w:val="006F77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50DF3"/>
  </w:style>
  <w:style w:type="table" w:styleId="PlainTable1">
    <w:name w:val="Plain Table 1"/>
    <w:basedOn w:val="TableNormal"/>
    <w:uiPriority w:val="41"/>
    <w:rsid w:val="00F921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921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semiHidden/>
    <w:unhideWhenUsed/>
    <w:rsid w:val="00E54B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l.ac.uk/abou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B50D-5800-4E8A-82A5-473A8E55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Nahwi Saeed</dc:creator>
  <cp:lastModifiedBy>Jalal Mistaffa</cp:lastModifiedBy>
  <cp:revision>7</cp:revision>
  <dcterms:created xsi:type="dcterms:W3CDTF">2017-03-28T11:29:00Z</dcterms:created>
  <dcterms:modified xsi:type="dcterms:W3CDTF">2017-04-11T19:18:00Z</dcterms:modified>
</cp:coreProperties>
</file>