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1DFD" w:rsidRPr="00332DAF" w:rsidRDefault="00E51DFD">
      <w:pPr>
        <w:pStyle w:val="DocumentProject"/>
        <w:framePr w:hSpace="0" w:wrap="auto" w:vAnchor="margin" w:yAlign="inline"/>
        <w:ind w:left="360"/>
        <w:rPr>
          <w:b w:val="0"/>
        </w:rPr>
      </w:pPr>
      <w:r w:rsidRPr="00332DAF">
        <w:rPr>
          <w:b w:val="0"/>
        </w:rPr>
        <w:t>Methodology</w:t>
      </w:r>
    </w:p>
    <w:p w:rsidR="00E51DFD" w:rsidRPr="00332DAF" w:rsidRDefault="00332DAF">
      <w:pPr>
        <w:pStyle w:val="DocumentProject"/>
        <w:framePr w:hSpace="0" w:wrap="auto" w:vAnchor="margin" w:yAlign="inline"/>
        <w:ind w:left="360"/>
      </w:pPr>
      <w:r w:rsidRPr="00332DAF">
        <w:t>July/August 2010 Religion and Public Life</w:t>
      </w:r>
      <w:r w:rsidR="002F4622" w:rsidRPr="00332DAF">
        <w:t xml:space="preserve"> Survey</w:t>
      </w:r>
    </w:p>
    <w:p w:rsidR="00E51DFD" w:rsidRPr="00332DAF" w:rsidRDefault="00E51DFD">
      <w:pPr>
        <w:pStyle w:val="DocumentClient"/>
        <w:framePr w:hSpace="0" w:wrap="auto" w:vAnchor="margin" w:yAlign="inline"/>
        <w:ind w:left="360"/>
      </w:pPr>
      <w:r w:rsidRPr="00332DAF">
        <w:t>Prepared by Princeton Survey Research Associates International</w:t>
      </w:r>
      <w:r w:rsidRPr="00332DAF">
        <w:br/>
        <w:t xml:space="preserve">for </w:t>
      </w:r>
      <w:r w:rsidR="00332DAF" w:rsidRPr="00332DAF">
        <w:t xml:space="preserve">the Pew Forum on Religion </w:t>
      </w:r>
      <w:r w:rsidR="00332DAF">
        <w:t>&amp;</w:t>
      </w:r>
      <w:r w:rsidR="00332DAF" w:rsidRPr="00332DAF">
        <w:t xml:space="preserve"> Public Life</w:t>
      </w:r>
    </w:p>
    <w:p w:rsidR="00E51DFD" w:rsidRPr="00332DAF" w:rsidRDefault="00332DAF">
      <w:pPr>
        <w:pStyle w:val="DocumentDate"/>
        <w:framePr w:hSpace="0" w:wrap="auto" w:vAnchor="margin" w:yAlign="inline"/>
        <w:spacing w:after="480"/>
        <w:ind w:left="360"/>
      </w:pPr>
      <w:r w:rsidRPr="00332DAF">
        <w:t>August</w:t>
      </w:r>
      <w:r w:rsidR="008163B0" w:rsidRPr="00332DAF">
        <w:t xml:space="preserve"> 2010</w:t>
      </w:r>
    </w:p>
    <w:p w:rsidR="00E51DFD" w:rsidRPr="00332DAF" w:rsidRDefault="00E51DFD">
      <w:pPr>
        <w:pStyle w:val="BodyofReport"/>
        <w:ind w:firstLine="0"/>
        <w:rPr>
          <w:b/>
          <w:bCs/>
        </w:rPr>
      </w:pPr>
      <w:r w:rsidRPr="00332DAF">
        <w:rPr>
          <w:b/>
          <w:bCs/>
        </w:rPr>
        <w:t>SUMMARY</w:t>
      </w:r>
    </w:p>
    <w:p w:rsidR="00E51DFD" w:rsidRPr="00332DAF" w:rsidRDefault="00E51DFD">
      <w:pPr>
        <w:pStyle w:val="BodyofReport"/>
        <w:ind w:firstLine="0"/>
      </w:pPr>
    </w:p>
    <w:p w:rsidR="00E51DFD" w:rsidRPr="00332DAF" w:rsidRDefault="00E51DFD">
      <w:pPr>
        <w:pStyle w:val="BodyofReport"/>
      </w:pPr>
      <w:r w:rsidRPr="00332DAF">
        <w:t xml:space="preserve">The </w:t>
      </w:r>
      <w:r w:rsidR="00332DAF" w:rsidRPr="00332DAF">
        <w:t>July/August</w:t>
      </w:r>
      <w:r w:rsidR="008163B0" w:rsidRPr="00332DAF">
        <w:t xml:space="preserve"> 2010</w:t>
      </w:r>
      <w:r w:rsidR="002F4622" w:rsidRPr="00332DAF">
        <w:t xml:space="preserve"> </w:t>
      </w:r>
      <w:r w:rsidR="00332DAF" w:rsidRPr="00332DAF">
        <w:t>Religion and Public Life</w:t>
      </w:r>
      <w:r w:rsidR="00411CA2" w:rsidRPr="00332DAF">
        <w:t xml:space="preserve"> </w:t>
      </w:r>
      <w:r w:rsidRPr="00332DAF">
        <w:t xml:space="preserve">Survey, sponsored by </w:t>
      </w:r>
      <w:r w:rsidR="00411CA2" w:rsidRPr="00332DAF">
        <w:t xml:space="preserve">the </w:t>
      </w:r>
      <w:r w:rsidR="00F16150" w:rsidRPr="00332DAF">
        <w:t xml:space="preserve">Pew </w:t>
      </w:r>
      <w:r w:rsidR="00332DAF" w:rsidRPr="00332DAF">
        <w:t>forum on Religion &amp; Public Life</w:t>
      </w:r>
      <w:r w:rsidRPr="00332DAF">
        <w:t xml:space="preserve">, obtained telephone interviews with a nationally representative sample of </w:t>
      </w:r>
      <w:r w:rsidR="00332DAF" w:rsidRPr="00332DAF">
        <w:t>3,003</w:t>
      </w:r>
      <w:r w:rsidRPr="00332DAF">
        <w:t xml:space="preserve"> adults living in</w:t>
      </w:r>
      <w:r w:rsidR="00BF6DE2" w:rsidRPr="00332DAF">
        <w:t xml:space="preserve"> the</w:t>
      </w:r>
      <w:r w:rsidRPr="00332DAF">
        <w:t xml:space="preserve"> continental United States. </w:t>
      </w:r>
      <w:r w:rsidR="00332DAF" w:rsidRPr="00332DAF">
        <w:t xml:space="preserve">Telephone interviews were conducted by landline (2,002) and cell phone (1,001 including 431 without a landline phone). </w:t>
      </w:r>
      <w:r w:rsidR="00D44672" w:rsidRPr="00332DAF">
        <w:t>The survey was conducted by Princeton Survey Research International</w:t>
      </w:r>
      <w:r w:rsidR="00044DFC" w:rsidRPr="00332DAF">
        <w:t xml:space="preserve"> (PSRAI)</w:t>
      </w:r>
      <w:r w:rsidR="00D44672" w:rsidRPr="00332DAF">
        <w:t xml:space="preserve">. Interviews </w:t>
      </w:r>
      <w:r w:rsidRPr="00332DAF">
        <w:t xml:space="preserve">were </w:t>
      </w:r>
      <w:r w:rsidR="00EE1BB7" w:rsidRPr="00332DAF">
        <w:t>done</w:t>
      </w:r>
      <w:r w:rsidRPr="00332DAF">
        <w:t xml:space="preserve"> in English</w:t>
      </w:r>
      <w:r w:rsidR="00BD1C84" w:rsidRPr="00332DAF">
        <w:t xml:space="preserve"> and Spanish</w:t>
      </w:r>
      <w:r w:rsidR="008163B0" w:rsidRPr="00332DAF">
        <w:t xml:space="preserve"> </w:t>
      </w:r>
      <w:r w:rsidRPr="00332DAF">
        <w:t xml:space="preserve">by </w:t>
      </w:r>
      <w:r w:rsidR="00BF6DE2" w:rsidRPr="00332DAF">
        <w:t>Princeton Data Source</w:t>
      </w:r>
      <w:r w:rsidRPr="00332DAF">
        <w:t xml:space="preserve"> from </w:t>
      </w:r>
      <w:r w:rsidR="00332DAF" w:rsidRPr="00332DAF">
        <w:t>July 21 to August 5</w:t>
      </w:r>
      <w:r w:rsidR="008163B0" w:rsidRPr="00332DAF">
        <w:t>, 2010</w:t>
      </w:r>
      <w:r w:rsidRPr="00332DAF">
        <w:t>. Statistical results are weighted to correct known demographic discrepancies. The margin of sampling error for the complete set of weighted data is ±</w:t>
      </w:r>
      <w:r w:rsidR="00BD1C84" w:rsidRPr="00332DAF">
        <w:t>2</w:t>
      </w:r>
      <w:r w:rsidR="00332DAF" w:rsidRPr="00332DAF">
        <w:t>.1</w:t>
      </w:r>
      <w:r w:rsidR="00F16150" w:rsidRPr="00332DAF">
        <w:t xml:space="preserve"> percentage points</w:t>
      </w:r>
      <w:r w:rsidRPr="00332DAF">
        <w:t>.</w:t>
      </w:r>
    </w:p>
    <w:p w:rsidR="00E51DFD" w:rsidRPr="00332DAF" w:rsidRDefault="00E51DFD">
      <w:pPr>
        <w:pStyle w:val="BodyofReport"/>
      </w:pPr>
      <w:r w:rsidRPr="00332DAF">
        <w:t>Details on the design, execution and analysis of the survey are discussed below.</w:t>
      </w:r>
    </w:p>
    <w:p w:rsidR="00E51DFD" w:rsidRPr="00332DAF" w:rsidRDefault="00E51DFD">
      <w:pPr>
        <w:pStyle w:val="BodyofReport"/>
        <w:ind w:firstLine="0"/>
        <w:rPr>
          <w:highlight w:val="yellow"/>
        </w:rPr>
      </w:pPr>
    </w:p>
    <w:p w:rsidR="00E51DFD" w:rsidRPr="00332DAF" w:rsidRDefault="00E51DFD">
      <w:pPr>
        <w:pStyle w:val="Heading1"/>
        <w:rPr>
          <w:rFonts w:ascii="Times New Roman" w:hAnsi="Times New Roman"/>
          <w:caps/>
          <w:sz w:val="24"/>
        </w:rPr>
      </w:pPr>
      <w:r w:rsidRPr="00332DAF">
        <w:rPr>
          <w:rFonts w:ascii="Times New Roman" w:hAnsi="Times New Roman"/>
          <w:caps/>
          <w:sz w:val="24"/>
        </w:rPr>
        <w:t>Design AND Data Collection Procedures</w:t>
      </w:r>
    </w:p>
    <w:p w:rsidR="00E51DFD" w:rsidRPr="00332DAF" w:rsidRDefault="00E51DFD"/>
    <w:p w:rsidR="00E51DFD" w:rsidRPr="00332DAF" w:rsidRDefault="00E51DFD">
      <w:pPr>
        <w:pStyle w:val="Heading4"/>
      </w:pPr>
      <w:r w:rsidRPr="00332DAF">
        <w:t>Sample Design</w:t>
      </w:r>
    </w:p>
    <w:p w:rsidR="00E51DFD" w:rsidRPr="00332DAF" w:rsidRDefault="00E51DFD">
      <w:pPr>
        <w:rPr>
          <w:b/>
          <w:bCs/>
        </w:rPr>
      </w:pPr>
    </w:p>
    <w:p w:rsidR="006806AB" w:rsidRPr="00332DAF" w:rsidRDefault="006806AB" w:rsidP="006806AB">
      <w:pPr>
        <w:pStyle w:val="BodyofReport"/>
      </w:pPr>
      <w:r w:rsidRPr="00332DAF">
        <w:t xml:space="preserve">A combination of landline and cellular random digit dial (RDD) samples was used to represent all adults in the continental </w:t>
      </w:r>
      <w:smartTag w:uri="urn:schemas-microsoft-com:office:smarttags" w:element="country-region">
        <w:smartTag w:uri="urn:schemas-microsoft-com:office:smarttags" w:element="place">
          <w:r w:rsidRPr="00332DAF">
            <w:t>United States</w:t>
          </w:r>
        </w:smartTag>
      </w:smartTag>
      <w:r w:rsidRPr="00332DAF">
        <w:t xml:space="preserve"> who have access to either a landline or cellular telephone. Both samples were provided by Survey Sampling International, LLC (SSI) according to PSRAI specifications.</w:t>
      </w:r>
    </w:p>
    <w:p w:rsidR="006806AB" w:rsidRPr="00332DAF" w:rsidRDefault="006806AB" w:rsidP="006806AB">
      <w:pPr>
        <w:pStyle w:val="BodyofReport"/>
      </w:pPr>
      <w:r w:rsidRPr="00332DAF">
        <w:t>Numbers for the landline sample were drawn with equal probabilities from active blocks (area code + exchange + two-digit block number) that contained three or more residential directory listings. The cellular sample was not list-assisted, but was drawn through a systematic sampling from dedicated wireless 100-blocks and shared service 100-blocks with no directory-listed landline numbers.</w:t>
      </w:r>
    </w:p>
    <w:p w:rsidR="006806AB" w:rsidRPr="00332DAF" w:rsidRDefault="006806AB" w:rsidP="006806AB">
      <w:pPr>
        <w:pStyle w:val="BodyofReport"/>
        <w:rPr>
          <w:highlight w:val="yellow"/>
        </w:rPr>
      </w:pPr>
    </w:p>
    <w:p w:rsidR="00E51DFD" w:rsidRPr="00332DAF" w:rsidRDefault="00BD1C84">
      <w:pPr>
        <w:pStyle w:val="Heading4"/>
        <w:spacing w:line="480" w:lineRule="auto"/>
        <w:rPr>
          <w:b w:val="0"/>
          <w:bCs w:val="0"/>
        </w:rPr>
      </w:pPr>
      <w:r w:rsidRPr="00332DAF">
        <w:rPr>
          <w:highlight w:val="yellow"/>
        </w:rPr>
        <w:br w:type="page"/>
      </w:r>
      <w:r w:rsidR="00E51DFD" w:rsidRPr="00332DAF">
        <w:lastRenderedPageBreak/>
        <w:t>Questionnaire Development and Testing</w:t>
      </w:r>
    </w:p>
    <w:p w:rsidR="00E51DFD" w:rsidRPr="00332DAF" w:rsidRDefault="00E51DFD">
      <w:pPr>
        <w:pStyle w:val="BodyofReport"/>
      </w:pPr>
      <w:r w:rsidRPr="00332DAF">
        <w:t xml:space="preserve">The questionnaire was developed by </w:t>
      </w:r>
      <w:r w:rsidR="0002104A" w:rsidRPr="00332DAF">
        <w:t xml:space="preserve">the </w:t>
      </w:r>
      <w:r w:rsidR="00C549C6" w:rsidRPr="00332DAF">
        <w:t xml:space="preserve">Pew </w:t>
      </w:r>
      <w:r w:rsidR="00332DAF" w:rsidRPr="00332DAF">
        <w:t>Forum on Religion &amp; Public Life</w:t>
      </w:r>
      <w:r w:rsidRPr="00332DAF">
        <w:t xml:space="preserve">. In order to improve the quality of the data, the questionnaire was pretested with a small number of respondents using </w:t>
      </w:r>
      <w:r w:rsidR="00702B74" w:rsidRPr="00332DAF">
        <w:t>RDD</w:t>
      </w:r>
      <w:r w:rsidRPr="00332DAF">
        <w:t xml:space="preserve"> telephone numbers. The </w:t>
      </w:r>
      <w:r w:rsidR="00E0341A" w:rsidRPr="00332DAF">
        <w:t xml:space="preserve">monitored </w:t>
      </w:r>
      <w:r w:rsidRPr="00332DAF">
        <w:t>pretest interviews were conducted using experienced interviewers who could best judge the quality of the answers given and the degree to which respondents understood the questions. Some final changes were made to the questionnaire based on the monitored pretest interviews.</w:t>
      </w:r>
    </w:p>
    <w:p w:rsidR="00E51DFD" w:rsidRPr="00332DAF" w:rsidRDefault="00E51DFD">
      <w:pPr>
        <w:pStyle w:val="BodyofReport"/>
        <w:ind w:firstLine="0"/>
        <w:rPr>
          <w:highlight w:val="yellow"/>
        </w:rPr>
      </w:pPr>
    </w:p>
    <w:p w:rsidR="00E51DFD" w:rsidRPr="0063785C" w:rsidRDefault="00E51DFD" w:rsidP="005219D3">
      <w:pPr>
        <w:pStyle w:val="Heading4"/>
        <w:spacing w:line="480" w:lineRule="auto"/>
      </w:pPr>
      <w:r w:rsidRPr="0063785C">
        <w:t>Contact Procedures</w:t>
      </w:r>
    </w:p>
    <w:p w:rsidR="0002104A" w:rsidRPr="0063785C" w:rsidRDefault="00E51DFD">
      <w:pPr>
        <w:pStyle w:val="BodyofReport"/>
      </w:pPr>
      <w:r w:rsidRPr="0063785C">
        <w:t xml:space="preserve">Interviews were conducted from </w:t>
      </w:r>
      <w:r w:rsidR="00332DAF" w:rsidRPr="0063785C">
        <w:t>July 21 to August 5</w:t>
      </w:r>
      <w:r w:rsidR="00BD1C84" w:rsidRPr="0063785C">
        <w:t>, 2010</w:t>
      </w:r>
      <w:r w:rsidR="00C549C6" w:rsidRPr="0063785C">
        <w:t>. As many as 7</w:t>
      </w:r>
      <w:r w:rsidRPr="0063785C">
        <w:t xml:space="preserve"> attempts were made to contact every sampled telephone number. Sample was released for interviewing in replicates, which are representative subsamples of the larger sample. Using replicates to control the release of sample ensures that complete call procedures are followed for the entire sample. Calls were staggered over times of day and days of the week to maximize the chance of making contact with potential respondents. Each </w:t>
      </w:r>
      <w:r w:rsidR="0002104A" w:rsidRPr="0063785C">
        <w:t>phone number</w:t>
      </w:r>
      <w:r w:rsidRPr="0063785C">
        <w:t xml:space="preserve"> received at least one daytime call. </w:t>
      </w:r>
    </w:p>
    <w:p w:rsidR="00B454EE" w:rsidRPr="0063785C" w:rsidRDefault="002A1A87" w:rsidP="00B454EE">
      <w:pPr>
        <w:pStyle w:val="BodyofReport"/>
      </w:pPr>
      <w:r w:rsidRPr="0063785C">
        <w:t>For the landline sample, interviewers asked to speak with the youngest adult male or female currently at home based on a random rotation. If no male/female was available, interviewers asked to speak with the youngest adult of the other gender.</w:t>
      </w:r>
    </w:p>
    <w:p w:rsidR="00B454EE" w:rsidRPr="0063785C" w:rsidRDefault="00B454EE" w:rsidP="00B454EE">
      <w:pPr>
        <w:pStyle w:val="BodyofReport"/>
      </w:pPr>
      <w:r w:rsidRPr="0063785C">
        <w:t>For the cellular sample, interviews were conducted with the person who answered the phone. Interviewers verified that the person was an adult and in a safe place before administering the survey. Cellular sample respondents were offered a post-paid cash incentive for their participation.</w:t>
      </w:r>
    </w:p>
    <w:p w:rsidR="00E51DFD" w:rsidRPr="0063785C" w:rsidRDefault="00E51DFD">
      <w:pPr>
        <w:pStyle w:val="Heading1"/>
        <w:rPr>
          <w:rFonts w:ascii="Times New Roman" w:hAnsi="Times New Roman"/>
          <w:caps/>
          <w:sz w:val="24"/>
        </w:rPr>
      </w:pPr>
      <w:r w:rsidRPr="0063785C">
        <w:rPr>
          <w:rFonts w:ascii="Times New Roman" w:hAnsi="Times New Roman"/>
          <w:caps/>
          <w:sz w:val="24"/>
        </w:rPr>
        <w:t>Weighting and analysis</w:t>
      </w:r>
    </w:p>
    <w:p w:rsidR="00E51DFD" w:rsidRPr="0063785C" w:rsidRDefault="00E51DFD"/>
    <w:p w:rsidR="00257E51" w:rsidRPr="0063785C" w:rsidRDefault="00257E51" w:rsidP="00675DD6">
      <w:pPr>
        <w:pStyle w:val="BodyofReport"/>
      </w:pPr>
      <w:r w:rsidRPr="0063785C">
        <w:t>Weighting is generally used in survey analysis to compensate for sample designs and patterns of non-response that might bias results. A two-stage weighting procedure was used to weight this dual-frame sample.</w:t>
      </w:r>
    </w:p>
    <w:p w:rsidR="00257E51" w:rsidRPr="0063785C" w:rsidRDefault="00257E51" w:rsidP="00675DD6">
      <w:pPr>
        <w:pStyle w:val="BodyofReport"/>
      </w:pPr>
      <w:r w:rsidRPr="0063785C">
        <w:t>The first stage weight is the product of two adjustments made to the data – a Probability of Selection Adjustment (PSA) and a Phone Use Adjustment (PUA).</w:t>
      </w:r>
    </w:p>
    <w:p w:rsidR="00FB6864" w:rsidRPr="0063785C" w:rsidRDefault="00257E51" w:rsidP="00675DD6">
      <w:pPr>
        <w:pStyle w:val="BodyofReport"/>
      </w:pPr>
      <w:r w:rsidRPr="0063785C">
        <w:t>The</w:t>
      </w:r>
      <w:r w:rsidR="00675DD6" w:rsidRPr="0063785C">
        <w:t xml:space="preserve"> PSA corrects for the fact that respondents in the landline sample have different probabilities of being sampled depending on how many adults live in the household. Since we only sample one person per household, adults who live with no other adults have a greater chance of being sample</w:t>
      </w:r>
      <w:r w:rsidR="00FB6864" w:rsidRPr="0063785C">
        <w:t>d</w:t>
      </w:r>
      <w:r w:rsidR="00675DD6" w:rsidRPr="0063785C">
        <w:t xml:space="preserve"> than adults who live </w:t>
      </w:r>
      <w:r w:rsidR="00FB6864" w:rsidRPr="0063785C">
        <w:t>in multiple-adult households.</w:t>
      </w:r>
    </w:p>
    <w:p w:rsidR="00675DD6" w:rsidRPr="0063785C" w:rsidRDefault="00675DD6" w:rsidP="00675DD6">
      <w:pPr>
        <w:pStyle w:val="BodyofReport"/>
      </w:pPr>
      <w:r w:rsidRPr="0063785C">
        <w:lastRenderedPageBreak/>
        <w:t xml:space="preserve">To compute the PSA, first define </w:t>
      </w:r>
      <w:r w:rsidRPr="0063785C">
        <w:rPr>
          <w:i/>
        </w:rPr>
        <w:t>n</w:t>
      </w:r>
      <w:r w:rsidRPr="0063785C">
        <w:rPr>
          <w:vertAlign w:val="subscript"/>
        </w:rPr>
        <w:t>1</w:t>
      </w:r>
      <w:r w:rsidRPr="0063785C">
        <w:t xml:space="preserve"> as the number of </w:t>
      </w:r>
      <w:r w:rsidR="00BC275F" w:rsidRPr="0063785C">
        <w:t>respondents</w:t>
      </w:r>
      <w:r w:rsidRPr="0063785C">
        <w:t xml:space="preserve"> in the landline sample who live in single-adults households and </w:t>
      </w:r>
      <w:r w:rsidRPr="0063785C">
        <w:rPr>
          <w:i/>
        </w:rPr>
        <w:t>n</w:t>
      </w:r>
      <w:r w:rsidRPr="0063785C">
        <w:rPr>
          <w:vertAlign w:val="subscript"/>
        </w:rPr>
        <w:t>2</w:t>
      </w:r>
      <w:r w:rsidRPr="0063785C">
        <w:t xml:space="preserve"> as the number </w:t>
      </w:r>
      <w:r w:rsidR="00BC275F" w:rsidRPr="0063785C">
        <w:t>of respondents</w:t>
      </w:r>
      <w:r w:rsidRPr="0063785C">
        <w:t xml:space="preserve"> in the landline sample that live in multi-adult households. The PSA equals:</w:t>
      </w:r>
    </w:p>
    <w:p w:rsidR="00675DD6" w:rsidRPr="00332DAF" w:rsidRDefault="00675DD6" w:rsidP="00675DD6">
      <w:pPr>
        <w:pStyle w:val="BodyofReport"/>
        <w:rPr>
          <w:sz w:val="20"/>
          <w:highlight w:val="yellow"/>
        </w:rPr>
      </w:pPr>
    </w:p>
    <w:p w:rsidR="00675DD6" w:rsidRPr="00332DAF" w:rsidRDefault="0063785C" w:rsidP="002A1A87">
      <w:pPr>
        <w:ind w:left="1440"/>
        <w:rPr>
          <w:highlight w:val="yellow"/>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2</m:t>
                  </m:r>
                </m:sub>
              </m:sSub>
            </m:den>
          </m:f>
          <m:r>
            <w:rPr>
              <w:rFonts w:ascii="Cambria Math" w:hAnsi="Cambria Math"/>
            </w:rPr>
            <m:t xml:space="preserve"> for landline respondents in single-adult households</m:t>
          </m:r>
        </m:oMath>
      </m:oMathPara>
    </w:p>
    <w:p w:rsidR="00675DD6" w:rsidRPr="00332DAF" w:rsidRDefault="0063785C" w:rsidP="002A1A87">
      <w:pPr>
        <w:spacing w:before="240"/>
        <w:ind w:left="1440"/>
        <w:rPr>
          <w:highlight w:val="yellow"/>
        </w:rPr>
      </w:pPr>
      <m:oMathPara>
        <m:oMathParaPr>
          <m:jc m:val="center"/>
        </m:oMathParaPr>
        <m:oMath>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2</m:t>
                  </m:r>
                </m:sub>
              </m:sSub>
            </m:den>
          </m:f>
          <m:r>
            <w:rPr>
              <w:rFonts w:ascii="Cambria Math" w:hAnsi="Cambria Math"/>
            </w:rPr>
            <m:t xml:space="preserve"> for landline re</m:t>
          </m:r>
          <m:r>
            <w:rPr>
              <w:rFonts w:ascii="Cambria Math" w:hAnsi="Cambria Math"/>
            </w:rPr>
            <m:t>s</m:t>
          </m:r>
          <m:r>
            <w:rPr>
              <w:rFonts w:ascii="Cambria Math" w:hAnsi="Cambria Math"/>
            </w:rPr>
            <m:t>pondents in multiple-adult households</m:t>
          </m:r>
        </m:oMath>
      </m:oMathPara>
    </w:p>
    <w:p w:rsidR="00675DD6" w:rsidRPr="00332DAF" w:rsidRDefault="0063785C" w:rsidP="002A1A87">
      <w:pPr>
        <w:pStyle w:val="BodyofReport"/>
        <w:spacing w:before="240"/>
        <w:ind w:left="1440"/>
        <w:rPr>
          <w:highlight w:val="yellow"/>
        </w:rPr>
      </w:pPr>
      <m:oMathPara>
        <m:oMath>
          <m:r>
            <w:rPr>
              <w:rFonts w:ascii="Cambria Math" w:hAnsi="Cambria Math"/>
            </w:rPr>
            <m:t>1 for c</m:t>
          </m:r>
          <m:r>
            <w:rPr>
              <w:rFonts w:ascii="Cambria Math" w:hAnsi="Cambria Math"/>
            </w:rPr>
            <m:t>ellphone repondents</m:t>
          </m:r>
        </m:oMath>
      </m:oMathPara>
    </w:p>
    <w:p w:rsidR="00CC765F" w:rsidRPr="00332DAF" w:rsidRDefault="00CC765F" w:rsidP="002A1A87">
      <w:pPr>
        <w:pStyle w:val="BodyofReport"/>
        <w:spacing w:line="240" w:lineRule="auto"/>
        <w:rPr>
          <w:sz w:val="20"/>
          <w:highlight w:val="yellow"/>
        </w:rPr>
      </w:pPr>
    </w:p>
    <w:p w:rsidR="00675DD6" w:rsidRPr="00477FB5" w:rsidRDefault="00257E51" w:rsidP="00675DD6">
      <w:pPr>
        <w:pStyle w:val="BodyofReport"/>
      </w:pPr>
      <w:r w:rsidRPr="00477FB5">
        <w:t>The PUA</w:t>
      </w:r>
      <w:r w:rsidR="00675DD6" w:rsidRPr="00477FB5">
        <w:t xml:space="preserve"> corrects for the overlapping landline and cellular sample frames. To compute the PUA, first define </w:t>
      </w:r>
      <w:r w:rsidR="00675DD6" w:rsidRPr="00477FB5">
        <w:rPr>
          <w:i/>
        </w:rPr>
        <w:t>p</w:t>
      </w:r>
      <w:r w:rsidR="00675DD6" w:rsidRPr="00477FB5">
        <w:rPr>
          <w:vertAlign w:val="subscript"/>
        </w:rPr>
        <w:t>1</w:t>
      </w:r>
      <w:r w:rsidR="00675DD6" w:rsidRPr="00477FB5">
        <w:t xml:space="preserve"> as the number of respondents with only one type of phone – landline or cell </w:t>
      </w:r>
      <w:r w:rsidR="00373AE8" w:rsidRPr="00477FB5">
        <w:t xml:space="preserve">- </w:t>
      </w:r>
      <w:r w:rsidR="00675DD6" w:rsidRPr="00477FB5">
        <w:t xml:space="preserve">and define </w:t>
      </w:r>
      <w:r w:rsidR="00675DD6" w:rsidRPr="00477FB5">
        <w:rPr>
          <w:i/>
        </w:rPr>
        <w:t>p</w:t>
      </w:r>
      <w:r w:rsidR="00675DD6" w:rsidRPr="00477FB5">
        <w:rPr>
          <w:vertAlign w:val="subscript"/>
        </w:rPr>
        <w:t>2</w:t>
      </w:r>
      <w:r w:rsidR="00675DD6" w:rsidRPr="00477FB5">
        <w:t xml:space="preserve"> as the number of respondents with both types of phones, the PUA equals:</w:t>
      </w:r>
    </w:p>
    <w:p w:rsidR="00675DD6" w:rsidRPr="00332DAF" w:rsidRDefault="00675DD6" w:rsidP="00675DD6">
      <w:pPr>
        <w:rPr>
          <w:sz w:val="20"/>
          <w:highlight w:val="yellow"/>
        </w:rPr>
      </w:pPr>
    </w:p>
    <w:p w:rsidR="00675DD6" w:rsidRPr="00332DAF" w:rsidRDefault="0063785C" w:rsidP="002A1A87">
      <w:pPr>
        <w:pStyle w:val="BodyofReport"/>
        <w:ind w:left="1440" w:firstLine="0"/>
        <w:rPr>
          <w:highlight w:val="yellow"/>
        </w:rPr>
      </w:pPr>
      <m:oMathPara>
        <m:oMath>
          <m:f>
            <m:fPr>
              <m:ctrlPr>
                <w:rPr>
                  <w:rFonts w:ascii="Cambria Math" w:hAnsi="Cambria Math"/>
                  <w:i/>
                </w:rPr>
              </m:ctrlPr>
            </m:fPr>
            <m:num>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num>
            <m:den>
              <m:sSub>
                <m:sSubPr>
                  <m:ctrlPr>
                    <w:rPr>
                      <w:rFonts w:ascii="Cambria Math" w:hAnsi="Cambria Math"/>
                      <w:i/>
                    </w:rPr>
                  </m:ctrlPr>
                </m:sSubPr>
                <m:e>
                  <m:r>
                    <w:rPr>
                      <w:rFonts w:ascii="Cambria Math" w:hAnsi="Cambria Math"/>
                    </w:rPr>
                    <m:t>2p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hAnsi="Cambria Math"/>
            </w:rPr>
            <m:t xml:space="preserve"> for respondents with one kind of phone</m:t>
          </m:r>
        </m:oMath>
      </m:oMathPara>
    </w:p>
    <w:p w:rsidR="00675DD6" w:rsidRPr="00332DAF" w:rsidRDefault="00675DD6" w:rsidP="002A1A87">
      <w:pPr>
        <w:pStyle w:val="BodyofReport"/>
        <w:ind w:left="1440" w:firstLine="0"/>
        <w:rPr>
          <w:highlight w:val="yellow"/>
        </w:rPr>
      </w:pPr>
    </w:p>
    <w:p w:rsidR="00675DD6" w:rsidRPr="00332DAF" w:rsidRDefault="0063785C" w:rsidP="002A1A87">
      <w:pPr>
        <w:pStyle w:val="BodyofReport"/>
        <w:ind w:left="1440" w:firstLine="0"/>
        <w:rPr>
          <w:highlight w:val="yellow"/>
        </w:rPr>
      </w:pPr>
      <m:oMathPara>
        <m:oMath>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num>
            <m:den>
              <m:sSub>
                <m:sSubPr>
                  <m:ctrlPr>
                    <w:rPr>
                      <w:rFonts w:ascii="Cambria Math" w:hAnsi="Cambria Math"/>
                      <w:i/>
                    </w:rPr>
                  </m:ctrlPr>
                </m:sSubPr>
                <m:e>
                  <m:r>
                    <w:rPr>
                      <w:rFonts w:ascii="Cambria Math" w:hAnsi="Cambria Math"/>
                    </w:rPr>
                    <m:t>2p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hAnsi="Cambria Math"/>
            </w:rPr>
            <m:t xml:space="preserve"> for respondents with two kinds of phones</m:t>
          </m:r>
        </m:oMath>
      </m:oMathPara>
    </w:p>
    <w:p w:rsidR="00675DD6" w:rsidRPr="00332DAF" w:rsidRDefault="00675DD6" w:rsidP="002A1A87">
      <w:pPr>
        <w:pStyle w:val="BodyofReport"/>
        <w:spacing w:line="240" w:lineRule="auto"/>
        <w:rPr>
          <w:sz w:val="20"/>
          <w:highlight w:val="yellow"/>
        </w:rPr>
      </w:pPr>
    </w:p>
    <w:p w:rsidR="00BE1176" w:rsidRPr="00477FB5" w:rsidRDefault="00BE1176" w:rsidP="00BE1176">
      <w:pPr>
        <w:pStyle w:val="BodyofReport"/>
      </w:pPr>
      <w:r w:rsidRPr="00477FB5">
        <w:t>The se</w:t>
      </w:r>
      <w:r w:rsidR="001B3E1B" w:rsidRPr="00477FB5">
        <w:t>cond stage of weighting balances</w:t>
      </w:r>
      <w:r w:rsidRPr="00477FB5">
        <w:t xml:space="preserve"> sample demographics to popu</w:t>
      </w:r>
      <w:r w:rsidR="001B3E1B" w:rsidRPr="00477FB5">
        <w:t>lation parameters. The sample i</w:t>
      </w:r>
      <w:r w:rsidRPr="00477FB5">
        <w:t>s balanced - by form - to match national population parameters for sex, age, education, race, Hispanic origin, region (U.S. Census definitions), population density, and telephone usage. The</w:t>
      </w:r>
      <w:r w:rsidR="001B3E1B" w:rsidRPr="00477FB5">
        <w:t xml:space="preserve"> White, non-Hispanic subgroup i</w:t>
      </w:r>
      <w:r w:rsidRPr="00477FB5">
        <w:t xml:space="preserve">s also balanced on age, education and region. The basic weighting parameters came from a special analysis of the Census Bureau’s 2009 Annual Social and Economic Supplement (ASEC) that included all households in the continental United States. The population density parameter was derived from Census 2000 data. The cell phone usage parameter came from an analysis of the </w:t>
      </w:r>
      <w:r w:rsidR="00A4484C" w:rsidRPr="00477FB5">
        <w:t>J</w:t>
      </w:r>
      <w:r w:rsidR="00477FB5" w:rsidRPr="00477FB5">
        <w:t>uly-December</w:t>
      </w:r>
      <w:r w:rsidR="00A4484C" w:rsidRPr="00477FB5">
        <w:t xml:space="preserve"> 2009</w:t>
      </w:r>
      <w:r w:rsidRPr="00477FB5">
        <w:t xml:space="preserve"> National Health Interview Survey.</w:t>
      </w:r>
      <w:r w:rsidRPr="00477FB5">
        <w:rPr>
          <w:rStyle w:val="FootnoteReference"/>
        </w:rPr>
        <w:footnoteReference w:id="1"/>
      </w:r>
    </w:p>
    <w:p w:rsidR="00BE1176" w:rsidRPr="00842785" w:rsidRDefault="00BE1176" w:rsidP="00BE1176">
      <w:pPr>
        <w:pStyle w:val="BodyofReport"/>
      </w:pPr>
      <w:r w:rsidRPr="00477FB5">
        <w:t xml:space="preserve">Weighting was accomplished using Sample Balancing, a special iterative sample weighting program that simultaneously balances the distributions of all variables using a statistical technique called the </w:t>
      </w:r>
      <w:r w:rsidRPr="00477FB5">
        <w:rPr>
          <w:i/>
          <w:iCs/>
        </w:rPr>
        <w:t>Deming Algorithm</w:t>
      </w:r>
      <w:r w:rsidRPr="00477FB5">
        <w:t xml:space="preserve">. Weights were </w:t>
      </w:r>
      <w:r w:rsidRPr="00477FB5">
        <w:rPr>
          <w:iCs/>
        </w:rPr>
        <w:t>trimmed</w:t>
      </w:r>
      <w:r w:rsidRPr="00477FB5">
        <w:t xml:space="preserve"> to prevent individual interviews from having too much influence on the final results. The use of these weights in statistical analysis ensures that the demographic characteristics of the sample closely </w:t>
      </w:r>
      <w:r w:rsidRPr="00842785">
        <w:lastRenderedPageBreak/>
        <w:t>approximate the demographic characteristics of the national population. Table 1 compares weighted and unweighted sample distributions to population parameters.</w:t>
      </w:r>
    </w:p>
    <w:p w:rsidR="00BE1176" w:rsidRPr="00332DAF" w:rsidRDefault="00BE1176" w:rsidP="00033809">
      <w:pPr>
        <w:pStyle w:val="BodyofReport"/>
        <w:spacing w:line="240" w:lineRule="auto"/>
        <w:rPr>
          <w:sz w:val="20"/>
          <w:highlight w:val="yellow"/>
        </w:rPr>
      </w:pPr>
    </w:p>
    <w:tbl>
      <w:tblPr>
        <w:tblW w:w="5900" w:type="dxa"/>
        <w:jc w:val="center"/>
        <w:tblLook w:val="04A0"/>
      </w:tblPr>
      <w:tblGrid>
        <w:gridCol w:w="2314"/>
        <w:gridCol w:w="1150"/>
        <w:gridCol w:w="1273"/>
        <w:gridCol w:w="1163"/>
      </w:tblGrid>
      <w:tr w:rsidR="00842785" w:rsidRPr="00842785" w:rsidTr="00842785">
        <w:trPr>
          <w:trHeight w:val="255"/>
          <w:jc w:val="center"/>
        </w:trPr>
        <w:tc>
          <w:tcPr>
            <w:tcW w:w="3464" w:type="dxa"/>
            <w:gridSpan w:val="2"/>
            <w:tcBorders>
              <w:bottom w:val="single" w:sz="4" w:space="0" w:color="auto"/>
            </w:tcBorders>
            <w:shd w:val="clear" w:color="auto" w:fill="auto"/>
            <w:noWrap/>
            <w:vAlign w:val="bottom"/>
            <w:hideMark/>
          </w:tcPr>
          <w:p w:rsidR="00842785" w:rsidRPr="00842785" w:rsidRDefault="00842785" w:rsidP="00842785">
            <w:pPr>
              <w:widowControl/>
              <w:rPr>
                <w:rFonts w:ascii="Arial" w:hAnsi="Arial" w:cs="Arial"/>
                <w:b/>
                <w:bCs/>
                <w:snapToGrid/>
                <w:sz w:val="20"/>
              </w:rPr>
            </w:pPr>
            <w:r w:rsidRPr="00842785">
              <w:rPr>
                <w:rFonts w:ascii="Arial" w:hAnsi="Arial" w:cs="Arial"/>
                <w:b/>
                <w:bCs/>
                <w:snapToGrid/>
                <w:sz w:val="20"/>
              </w:rPr>
              <w:t>Table 1: Sample Demographics</w:t>
            </w:r>
          </w:p>
        </w:tc>
        <w:tc>
          <w:tcPr>
            <w:tcW w:w="1273" w:type="dxa"/>
            <w:tcBorders>
              <w:bottom w:val="single" w:sz="4" w:space="0" w:color="auto"/>
            </w:tcBorders>
            <w:shd w:val="clear" w:color="auto" w:fill="auto"/>
            <w:vAlign w:val="bottom"/>
            <w:hideMark/>
          </w:tcPr>
          <w:p w:rsidR="00842785" w:rsidRPr="00842785" w:rsidRDefault="00842785" w:rsidP="00842785">
            <w:pPr>
              <w:widowControl/>
              <w:jc w:val="center"/>
              <w:rPr>
                <w:rFonts w:ascii="Arial" w:hAnsi="Arial" w:cs="Arial"/>
                <w:b/>
                <w:bCs/>
                <w:snapToGrid/>
                <w:sz w:val="20"/>
              </w:rPr>
            </w:pPr>
            <w:r w:rsidRPr="00842785">
              <w:rPr>
                <w:rFonts w:ascii="Arial" w:hAnsi="Arial" w:cs="Arial"/>
                <w:b/>
                <w:bCs/>
                <w:snapToGrid/>
                <w:sz w:val="20"/>
              </w:rPr>
              <w:t> </w:t>
            </w:r>
          </w:p>
        </w:tc>
        <w:tc>
          <w:tcPr>
            <w:tcW w:w="1163" w:type="dxa"/>
            <w:tcBorders>
              <w:bottom w:val="single" w:sz="4" w:space="0" w:color="auto"/>
            </w:tcBorders>
            <w:shd w:val="clear" w:color="auto" w:fill="auto"/>
            <w:vAlign w:val="bottom"/>
            <w:hideMark/>
          </w:tcPr>
          <w:p w:rsidR="00842785" w:rsidRPr="00842785" w:rsidRDefault="00842785" w:rsidP="00842785">
            <w:pPr>
              <w:widowControl/>
              <w:jc w:val="right"/>
              <w:rPr>
                <w:rFonts w:ascii="Arial" w:hAnsi="Arial" w:cs="Arial"/>
                <w:b/>
                <w:bCs/>
                <w:snapToGrid/>
                <w:sz w:val="20"/>
              </w:rPr>
            </w:pPr>
          </w:p>
        </w:tc>
      </w:tr>
      <w:tr w:rsidR="00842785" w:rsidRPr="00842785" w:rsidTr="00842785">
        <w:trPr>
          <w:trHeight w:val="255"/>
          <w:jc w:val="center"/>
        </w:trPr>
        <w:tc>
          <w:tcPr>
            <w:tcW w:w="2314" w:type="dxa"/>
            <w:tcBorders>
              <w:top w:val="single" w:sz="4" w:space="0" w:color="auto"/>
            </w:tcBorders>
            <w:shd w:val="clear" w:color="auto" w:fill="auto"/>
            <w:vAlign w:val="bottom"/>
            <w:hideMark/>
          </w:tcPr>
          <w:p w:rsidR="00842785" w:rsidRPr="00842785" w:rsidRDefault="00842785" w:rsidP="00842785">
            <w:pPr>
              <w:widowControl/>
              <w:jc w:val="right"/>
              <w:rPr>
                <w:rFonts w:ascii="Arial" w:hAnsi="Arial" w:cs="Arial"/>
                <w:snapToGrid/>
                <w:sz w:val="20"/>
                <w:u w:val="single"/>
              </w:rPr>
            </w:pPr>
          </w:p>
        </w:tc>
        <w:tc>
          <w:tcPr>
            <w:tcW w:w="1150" w:type="dxa"/>
            <w:tcBorders>
              <w:top w:val="single" w:sz="4" w:space="0" w:color="auto"/>
            </w:tcBorders>
            <w:shd w:val="clear" w:color="auto" w:fill="auto"/>
            <w:vAlign w:val="bottom"/>
            <w:hideMark/>
          </w:tcPr>
          <w:p w:rsidR="00842785" w:rsidRPr="00842785" w:rsidRDefault="00842785" w:rsidP="00842785">
            <w:pPr>
              <w:widowControl/>
              <w:jc w:val="center"/>
              <w:rPr>
                <w:rFonts w:ascii="Arial" w:hAnsi="Arial" w:cs="Arial"/>
                <w:snapToGrid/>
                <w:sz w:val="20"/>
                <w:u w:val="single"/>
              </w:rPr>
            </w:pPr>
            <w:r w:rsidRPr="00842785">
              <w:rPr>
                <w:rFonts w:ascii="Arial" w:hAnsi="Arial" w:cs="Arial"/>
                <w:snapToGrid/>
                <w:sz w:val="20"/>
                <w:u w:val="single"/>
              </w:rPr>
              <w:t>Parameter</w:t>
            </w:r>
          </w:p>
        </w:tc>
        <w:tc>
          <w:tcPr>
            <w:tcW w:w="1273" w:type="dxa"/>
            <w:tcBorders>
              <w:top w:val="single" w:sz="4" w:space="0" w:color="auto"/>
            </w:tcBorders>
            <w:shd w:val="clear" w:color="auto" w:fill="auto"/>
            <w:vAlign w:val="bottom"/>
            <w:hideMark/>
          </w:tcPr>
          <w:p w:rsidR="00842785" w:rsidRPr="00842785" w:rsidRDefault="00842785" w:rsidP="00842785">
            <w:pPr>
              <w:widowControl/>
              <w:jc w:val="center"/>
              <w:rPr>
                <w:rFonts w:ascii="Arial" w:hAnsi="Arial" w:cs="Arial"/>
                <w:snapToGrid/>
                <w:sz w:val="20"/>
                <w:u w:val="single"/>
              </w:rPr>
            </w:pPr>
            <w:r w:rsidRPr="00842785">
              <w:rPr>
                <w:rFonts w:ascii="Arial" w:hAnsi="Arial" w:cs="Arial"/>
                <w:snapToGrid/>
                <w:sz w:val="20"/>
                <w:u w:val="single"/>
              </w:rPr>
              <w:t>Unweighted</w:t>
            </w:r>
          </w:p>
        </w:tc>
        <w:tc>
          <w:tcPr>
            <w:tcW w:w="1163" w:type="dxa"/>
            <w:tcBorders>
              <w:top w:val="single" w:sz="4" w:space="0" w:color="auto"/>
            </w:tcBorders>
            <w:shd w:val="clear" w:color="auto" w:fill="auto"/>
            <w:vAlign w:val="bottom"/>
            <w:hideMark/>
          </w:tcPr>
          <w:p w:rsidR="00842785" w:rsidRPr="00842785" w:rsidRDefault="00842785" w:rsidP="00842785">
            <w:pPr>
              <w:widowControl/>
              <w:jc w:val="right"/>
              <w:rPr>
                <w:rFonts w:ascii="Arial" w:hAnsi="Arial" w:cs="Arial"/>
                <w:snapToGrid/>
                <w:sz w:val="20"/>
                <w:u w:val="single"/>
              </w:rPr>
            </w:pPr>
            <w:r w:rsidRPr="00842785">
              <w:rPr>
                <w:rFonts w:ascii="Arial" w:hAnsi="Arial" w:cs="Arial"/>
                <w:snapToGrid/>
                <w:sz w:val="20"/>
                <w:u w:val="single"/>
              </w:rPr>
              <w:t>Weighted</w:t>
            </w:r>
          </w:p>
        </w:tc>
      </w:tr>
      <w:tr w:rsidR="00842785" w:rsidRPr="00842785" w:rsidTr="00842785">
        <w:trPr>
          <w:trHeight w:val="255"/>
          <w:jc w:val="center"/>
        </w:trPr>
        <w:tc>
          <w:tcPr>
            <w:tcW w:w="2314" w:type="dxa"/>
            <w:shd w:val="clear" w:color="auto" w:fill="auto"/>
            <w:vAlign w:val="bottom"/>
            <w:hideMark/>
          </w:tcPr>
          <w:p w:rsidR="00842785" w:rsidRPr="00842785" w:rsidRDefault="00842785" w:rsidP="00842785">
            <w:pPr>
              <w:widowControl/>
              <w:jc w:val="right"/>
              <w:rPr>
                <w:rFonts w:ascii="Arial" w:hAnsi="Arial" w:cs="Arial"/>
                <w:snapToGrid/>
                <w:sz w:val="20"/>
                <w:u w:val="single"/>
              </w:rPr>
            </w:pPr>
            <w:r w:rsidRPr="00842785">
              <w:rPr>
                <w:rFonts w:ascii="Arial" w:hAnsi="Arial" w:cs="Arial"/>
                <w:snapToGrid/>
                <w:sz w:val="20"/>
                <w:u w:val="single"/>
              </w:rPr>
              <w:t>Gender</w:t>
            </w:r>
          </w:p>
        </w:tc>
        <w:tc>
          <w:tcPr>
            <w:tcW w:w="1150" w:type="dxa"/>
            <w:shd w:val="clear" w:color="auto" w:fill="auto"/>
            <w:vAlign w:val="bottom"/>
            <w:hideMark/>
          </w:tcPr>
          <w:p w:rsidR="00842785" w:rsidRPr="00842785" w:rsidRDefault="00842785" w:rsidP="00842785">
            <w:pPr>
              <w:widowControl/>
              <w:jc w:val="center"/>
              <w:rPr>
                <w:rFonts w:ascii="Arial" w:hAnsi="Arial" w:cs="Arial"/>
                <w:b/>
                <w:bCs/>
                <w:snapToGrid/>
                <w:sz w:val="20"/>
              </w:rPr>
            </w:pPr>
            <w:r w:rsidRPr="00842785">
              <w:rPr>
                <w:rFonts w:ascii="Arial" w:hAnsi="Arial" w:cs="Arial"/>
                <w:b/>
                <w:bCs/>
                <w:snapToGrid/>
                <w:sz w:val="20"/>
              </w:rPr>
              <w:t> </w:t>
            </w:r>
          </w:p>
        </w:tc>
        <w:tc>
          <w:tcPr>
            <w:tcW w:w="1273" w:type="dxa"/>
            <w:shd w:val="clear" w:color="auto" w:fill="auto"/>
            <w:vAlign w:val="bottom"/>
            <w:hideMark/>
          </w:tcPr>
          <w:p w:rsidR="00842785" w:rsidRPr="00842785" w:rsidRDefault="00842785" w:rsidP="00842785">
            <w:pPr>
              <w:widowControl/>
              <w:jc w:val="center"/>
              <w:rPr>
                <w:rFonts w:ascii="Arial" w:hAnsi="Arial" w:cs="Arial"/>
                <w:b/>
                <w:bCs/>
                <w:snapToGrid/>
                <w:sz w:val="20"/>
              </w:rPr>
            </w:pPr>
            <w:r w:rsidRPr="00842785">
              <w:rPr>
                <w:rFonts w:ascii="Arial" w:hAnsi="Arial" w:cs="Arial"/>
                <w:b/>
                <w:bCs/>
                <w:snapToGrid/>
                <w:sz w:val="20"/>
              </w:rPr>
              <w:t> </w:t>
            </w:r>
          </w:p>
        </w:tc>
        <w:tc>
          <w:tcPr>
            <w:tcW w:w="1163" w:type="dxa"/>
            <w:shd w:val="clear" w:color="auto" w:fill="auto"/>
            <w:vAlign w:val="bottom"/>
            <w:hideMark/>
          </w:tcPr>
          <w:p w:rsidR="00842785" w:rsidRPr="00842785" w:rsidRDefault="00842785" w:rsidP="00842785">
            <w:pPr>
              <w:widowControl/>
              <w:jc w:val="right"/>
              <w:rPr>
                <w:rFonts w:ascii="Arial" w:hAnsi="Arial" w:cs="Arial"/>
                <w:b/>
                <w:bCs/>
                <w:snapToGrid/>
                <w:sz w:val="20"/>
              </w:rPr>
            </w:pPr>
          </w:p>
        </w:tc>
      </w:tr>
      <w:tr w:rsidR="00842785" w:rsidRPr="00842785" w:rsidTr="00842785">
        <w:trPr>
          <w:trHeight w:val="255"/>
          <w:jc w:val="center"/>
        </w:trPr>
        <w:tc>
          <w:tcPr>
            <w:tcW w:w="2314" w:type="dxa"/>
            <w:shd w:val="clear" w:color="auto" w:fill="auto"/>
            <w:noWrap/>
            <w:vAlign w:val="bottom"/>
            <w:hideMark/>
          </w:tcPr>
          <w:p w:rsidR="00842785" w:rsidRPr="00842785" w:rsidRDefault="00842785" w:rsidP="00842785">
            <w:pPr>
              <w:widowControl/>
              <w:jc w:val="right"/>
              <w:rPr>
                <w:rFonts w:ascii="Arial" w:hAnsi="Arial" w:cs="Arial"/>
                <w:snapToGrid/>
                <w:sz w:val="20"/>
              </w:rPr>
            </w:pPr>
            <w:r w:rsidRPr="00842785">
              <w:rPr>
                <w:rFonts w:ascii="Arial" w:hAnsi="Arial" w:cs="Arial"/>
                <w:snapToGrid/>
                <w:sz w:val="20"/>
              </w:rPr>
              <w:t>Male</w:t>
            </w:r>
          </w:p>
        </w:tc>
        <w:tc>
          <w:tcPr>
            <w:tcW w:w="1150"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48.5%</w:t>
            </w:r>
          </w:p>
        </w:tc>
        <w:tc>
          <w:tcPr>
            <w:tcW w:w="1273"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44.5%</w:t>
            </w:r>
          </w:p>
        </w:tc>
        <w:tc>
          <w:tcPr>
            <w:tcW w:w="1163"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48.1%</w:t>
            </w:r>
          </w:p>
        </w:tc>
      </w:tr>
      <w:tr w:rsidR="00842785" w:rsidRPr="00842785" w:rsidTr="00842785">
        <w:trPr>
          <w:trHeight w:val="255"/>
          <w:jc w:val="center"/>
        </w:trPr>
        <w:tc>
          <w:tcPr>
            <w:tcW w:w="2314" w:type="dxa"/>
            <w:shd w:val="clear" w:color="auto" w:fill="auto"/>
            <w:noWrap/>
            <w:vAlign w:val="bottom"/>
            <w:hideMark/>
          </w:tcPr>
          <w:p w:rsidR="00842785" w:rsidRPr="00842785" w:rsidRDefault="00842785" w:rsidP="00842785">
            <w:pPr>
              <w:widowControl/>
              <w:jc w:val="right"/>
              <w:rPr>
                <w:rFonts w:ascii="Arial" w:hAnsi="Arial" w:cs="Arial"/>
                <w:snapToGrid/>
                <w:sz w:val="20"/>
              </w:rPr>
            </w:pPr>
            <w:r w:rsidRPr="00842785">
              <w:rPr>
                <w:rFonts w:ascii="Arial" w:hAnsi="Arial" w:cs="Arial"/>
                <w:snapToGrid/>
                <w:sz w:val="20"/>
              </w:rPr>
              <w:t>Female</w:t>
            </w:r>
          </w:p>
        </w:tc>
        <w:tc>
          <w:tcPr>
            <w:tcW w:w="1150"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51.5%</w:t>
            </w:r>
          </w:p>
        </w:tc>
        <w:tc>
          <w:tcPr>
            <w:tcW w:w="1273"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55.5%</w:t>
            </w:r>
          </w:p>
        </w:tc>
        <w:tc>
          <w:tcPr>
            <w:tcW w:w="1163"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51.9%</w:t>
            </w:r>
          </w:p>
        </w:tc>
      </w:tr>
      <w:tr w:rsidR="00842785" w:rsidRPr="00842785" w:rsidTr="00842785">
        <w:trPr>
          <w:trHeight w:val="255"/>
          <w:jc w:val="center"/>
        </w:trPr>
        <w:tc>
          <w:tcPr>
            <w:tcW w:w="2314" w:type="dxa"/>
            <w:shd w:val="clear" w:color="auto" w:fill="auto"/>
            <w:noWrap/>
            <w:vAlign w:val="bottom"/>
            <w:hideMark/>
          </w:tcPr>
          <w:p w:rsidR="00842785" w:rsidRPr="00842785" w:rsidRDefault="00842785" w:rsidP="00842785">
            <w:pPr>
              <w:widowControl/>
              <w:jc w:val="right"/>
              <w:rPr>
                <w:rFonts w:ascii="Arial" w:hAnsi="Arial" w:cs="Arial"/>
                <w:snapToGrid/>
                <w:sz w:val="20"/>
              </w:rPr>
            </w:pPr>
          </w:p>
        </w:tc>
        <w:tc>
          <w:tcPr>
            <w:tcW w:w="1150"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 </w:t>
            </w:r>
          </w:p>
        </w:tc>
        <w:tc>
          <w:tcPr>
            <w:tcW w:w="1273"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 </w:t>
            </w:r>
          </w:p>
        </w:tc>
        <w:tc>
          <w:tcPr>
            <w:tcW w:w="1163" w:type="dxa"/>
            <w:shd w:val="clear" w:color="auto" w:fill="auto"/>
            <w:noWrap/>
            <w:vAlign w:val="bottom"/>
            <w:hideMark/>
          </w:tcPr>
          <w:p w:rsidR="00842785" w:rsidRPr="00842785" w:rsidRDefault="00842785" w:rsidP="00842785">
            <w:pPr>
              <w:widowControl/>
              <w:jc w:val="center"/>
              <w:rPr>
                <w:rFonts w:ascii="Arial" w:hAnsi="Arial" w:cs="Arial"/>
                <w:snapToGrid/>
                <w:sz w:val="20"/>
              </w:rPr>
            </w:pPr>
          </w:p>
        </w:tc>
      </w:tr>
      <w:tr w:rsidR="00842785" w:rsidRPr="00842785" w:rsidTr="00842785">
        <w:trPr>
          <w:trHeight w:val="255"/>
          <w:jc w:val="center"/>
        </w:trPr>
        <w:tc>
          <w:tcPr>
            <w:tcW w:w="2314" w:type="dxa"/>
            <w:shd w:val="clear" w:color="auto" w:fill="auto"/>
            <w:noWrap/>
            <w:vAlign w:val="bottom"/>
            <w:hideMark/>
          </w:tcPr>
          <w:p w:rsidR="00842785" w:rsidRPr="00842785" w:rsidRDefault="00842785" w:rsidP="00842785">
            <w:pPr>
              <w:widowControl/>
              <w:jc w:val="right"/>
              <w:rPr>
                <w:rFonts w:ascii="Arial" w:hAnsi="Arial" w:cs="Arial"/>
                <w:snapToGrid/>
                <w:sz w:val="20"/>
                <w:u w:val="single"/>
              </w:rPr>
            </w:pPr>
            <w:r w:rsidRPr="00842785">
              <w:rPr>
                <w:rFonts w:ascii="Arial" w:hAnsi="Arial" w:cs="Arial"/>
                <w:snapToGrid/>
                <w:sz w:val="20"/>
                <w:u w:val="single"/>
              </w:rPr>
              <w:t>Age</w:t>
            </w:r>
          </w:p>
        </w:tc>
        <w:tc>
          <w:tcPr>
            <w:tcW w:w="1150"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 </w:t>
            </w:r>
          </w:p>
        </w:tc>
        <w:tc>
          <w:tcPr>
            <w:tcW w:w="1273"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 </w:t>
            </w:r>
          </w:p>
        </w:tc>
        <w:tc>
          <w:tcPr>
            <w:tcW w:w="1163" w:type="dxa"/>
            <w:shd w:val="clear" w:color="auto" w:fill="auto"/>
            <w:noWrap/>
            <w:vAlign w:val="bottom"/>
            <w:hideMark/>
          </w:tcPr>
          <w:p w:rsidR="00842785" w:rsidRPr="00842785" w:rsidRDefault="00842785" w:rsidP="00842785">
            <w:pPr>
              <w:widowControl/>
              <w:jc w:val="center"/>
              <w:rPr>
                <w:rFonts w:ascii="Arial" w:hAnsi="Arial" w:cs="Arial"/>
                <w:snapToGrid/>
                <w:sz w:val="20"/>
              </w:rPr>
            </w:pPr>
          </w:p>
        </w:tc>
      </w:tr>
      <w:tr w:rsidR="00842785" w:rsidRPr="00842785" w:rsidTr="00842785">
        <w:trPr>
          <w:trHeight w:val="255"/>
          <w:jc w:val="center"/>
        </w:trPr>
        <w:tc>
          <w:tcPr>
            <w:tcW w:w="2314" w:type="dxa"/>
            <w:shd w:val="clear" w:color="auto" w:fill="auto"/>
            <w:noWrap/>
            <w:vAlign w:val="bottom"/>
            <w:hideMark/>
          </w:tcPr>
          <w:p w:rsidR="00842785" w:rsidRPr="00842785" w:rsidRDefault="00842785" w:rsidP="00842785">
            <w:pPr>
              <w:widowControl/>
              <w:jc w:val="right"/>
              <w:rPr>
                <w:rFonts w:ascii="Arial" w:hAnsi="Arial" w:cs="Arial"/>
                <w:snapToGrid/>
                <w:sz w:val="20"/>
              </w:rPr>
            </w:pPr>
            <w:r w:rsidRPr="00842785">
              <w:rPr>
                <w:rFonts w:ascii="Arial" w:hAnsi="Arial" w:cs="Arial"/>
                <w:snapToGrid/>
                <w:sz w:val="20"/>
              </w:rPr>
              <w:t>18-24</w:t>
            </w:r>
          </w:p>
        </w:tc>
        <w:tc>
          <w:tcPr>
            <w:tcW w:w="1150"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12.6%</w:t>
            </w:r>
          </w:p>
        </w:tc>
        <w:tc>
          <w:tcPr>
            <w:tcW w:w="1273"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9.6%</w:t>
            </w:r>
          </w:p>
        </w:tc>
        <w:tc>
          <w:tcPr>
            <w:tcW w:w="1163"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12.6%</w:t>
            </w:r>
          </w:p>
        </w:tc>
      </w:tr>
      <w:tr w:rsidR="00842785" w:rsidRPr="00842785" w:rsidTr="00842785">
        <w:trPr>
          <w:trHeight w:val="255"/>
          <w:jc w:val="center"/>
        </w:trPr>
        <w:tc>
          <w:tcPr>
            <w:tcW w:w="2314" w:type="dxa"/>
            <w:shd w:val="clear" w:color="auto" w:fill="auto"/>
            <w:noWrap/>
            <w:vAlign w:val="bottom"/>
            <w:hideMark/>
          </w:tcPr>
          <w:p w:rsidR="00842785" w:rsidRPr="00842785" w:rsidRDefault="00842785" w:rsidP="00842785">
            <w:pPr>
              <w:widowControl/>
              <w:jc w:val="right"/>
              <w:rPr>
                <w:rFonts w:ascii="Arial" w:hAnsi="Arial" w:cs="Arial"/>
                <w:snapToGrid/>
                <w:sz w:val="20"/>
              </w:rPr>
            </w:pPr>
            <w:r w:rsidRPr="00842785">
              <w:rPr>
                <w:rFonts w:ascii="Arial" w:hAnsi="Arial" w:cs="Arial"/>
                <w:snapToGrid/>
                <w:sz w:val="20"/>
              </w:rPr>
              <w:t>25-34</w:t>
            </w:r>
          </w:p>
        </w:tc>
        <w:tc>
          <w:tcPr>
            <w:tcW w:w="1150"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17.8%</w:t>
            </w:r>
          </w:p>
        </w:tc>
        <w:tc>
          <w:tcPr>
            <w:tcW w:w="1273"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12.3%</w:t>
            </w:r>
          </w:p>
        </w:tc>
        <w:tc>
          <w:tcPr>
            <w:tcW w:w="1163"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16.9%</w:t>
            </w:r>
          </w:p>
        </w:tc>
      </w:tr>
      <w:tr w:rsidR="00842785" w:rsidRPr="00842785" w:rsidTr="00842785">
        <w:trPr>
          <w:trHeight w:val="255"/>
          <w:jc w:val="center"/>
        </w:trPr>
        <w:tc>
          <w:tcPr>
            <w:tcW w:w="2314" w:type="dxa"/>
            <w:shd w:val="clear" w:color="auto" w:fill="auto"/>
            <w:noWrap/>
            <w:vAlign w:val="bottom"/>
            <w:hideMark/>
          </w:tcPr>
          <w:p w:rsidR="00842785" w:rsidRPr="00842785" w:rsidRDefault="00842785" w:rsidP="00842785">
            <w:pPr>
              <w:widowControl/>
              <w:jc w:val="right"/>
              <w:rPr>
                <w:rFonts w:ascii="Arial" w:hAnsi="Arial" w:cs="Arial"/>
                <w:snapToGrid/>
                <w:sz w:val="20"/>
              </w:rPr>
            </w:pPr>
            <w:r w:rsidRPr="00842785">
              <w:rPr>
                <w:rFonts w:ascii="Arial" w:hAnsi="Arial" w:cs="Arial"/>
                <w:snapToGrid/>
                <w:sz w:val="20"/>
              </w:rPr>
              <w:t>35-44</w:t>
            </w:r>
          </w:p>
        </w:tc>
        <w:tc>
          <w:tcPr>
            <w:tcW w:w="1150"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18.2%</w:t>
            </w:r>
          </w:p>
        </w:tc>
        <w:tc>
          <w:tcPr>
            <w:tcW w:w="1273"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13.8%</w:t>
            </w:r>
          </w:p>
        </w:tc>
        <w:tc>
          <w:tcPr>
            <w:tcW w:w="1163"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17.0%</w:t>
            </w:r>
          </w:p>
        </w:tc>
      </w:tr>
      <w:tr w:rsidR="00842785" w:rsidRPr="00842785" w:rsidTr="00842785">
        <w:trPr>
          <w:trHeight w:val="255"/>
          <w:jc w:val="center"/>
        </w:trPr>
        <w:tc>
          <w:tcPr>
            <w:tcW w:w="2314" w:type="dxa"/>
            <w:shd w:val="clear" w:color="auto" w:fill="auto"/>
            <w:noWrap/>
            <w:vAlign w:val="bottom"/>
            <w:hideMark/>
          </w:tcPr>
          <w:p w:rsidR="00842785" w:rsidRPr="00842785" w:rsidRDefault="00842785" w:rsidP="00842785">
            <w:pPr>
              <w:widowControl/>
              <w:jc w:val="right"/>
              <w:rPr>
                <w:rFonts w:ascii="Arial" w:hAnsi="Arial" w:cs="Arial"/>
                <w:snapToGrid/>
                <w:sz w:val="20"/>
              </w:rPr>
            </w:pPr>
            <w:r w:rsidRPr="00842785">
              <w:rPr>
                <w:rFonts w:ascii="Arial" w:hAnsi="Arial" w:cs="Arial"/>
                <w:snapToGrid/>
                <w:sz w:val="20"/>
              </w:rPr>
              <w:t>45-54</w:t>
            </w:r>
          </w:p>
        </w:tc>
        <w:tc>
          <w:tcPr>
            <w:tcW w:w="1150"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19.6%</w:t>
            </w:r>
          </w:p>
        </w:tc>
        <w:tc>
          <w:tcPr>
            <w:tcW w:w="1273"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18.9%</w:t>
            </w:r>
          </w:p>
        </w:tc>
        <w:tc>
          <w:tcPr>
            <w:tcW w:w="1163"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19.7%</w:t>
            </w:r>
          </w:p>
        </w:tc>
      </w:tr>
      <w:tr w:rsidR="00842785" w:rsidRPr="00842785" w:rsidTr="00842785">
        <w:trPr>
          <w:trHeight w:val="255"/>
          <w:jc w:val="center"/>
        </w:trPr>
        <w:tc>
          <w:tcPr>
            <w:tcW w:w="2314" w:type="dxa"/>
            <w:shd w:val="clear" w:color="auto" w:fill="auto"/>
            <w:noWrap/>
            <w:vAlign w:val="bottom"/>
            <w:hideMark/>
          </w:tcPr>
          <w:p w:rsidR="00842785" w:rsidRPr="00842785" w:rsidRDefault="00842785" w:rsidP="00842785">
            <w:pPr>
              <w:widowControl/>
              <w:jc w:val="right"/>
              <w:rPr>
                <w:rFonts w:ascii="Arial" w:hAnsi="Arial" w:cs="Arial"/>
                <w:snapToGrid/>
                <w:sz w:val="20"/>
              </w:rPr>
            </w:pPr>
            <w:r w:rsidRPr="00842785">
              <w:rPr>
                <w:rFonts w:ascii="Arial" w:hAnsi="Arial" w:cs="Arial"/>
                <w:snapToGrid/>
                <w:sz w:val="20"/>
              </w:rPr>
              <w:t>55-64</w:t>
            </w:r>
          </w:p>
        </w:tc>
        <w:tc>
          <w:tcPr>
            <w:tcW w:w="1150"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15.1%</w:t>
            </w:r>
          </w:p>
        </w:tc>
        <w:tc>
          <w:tcPr>
            <w:tcW w:w="1273"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20.0%</w:t>
            </w:r>
          </w:p>
        </w:tc>
        <w:tc>
          <w:tcPr>
            <w:tcW w:w="1163"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15.1%</w:t>
            </w:r>
          </w:p>
        </w:tc>
      </w:tr>
      <w:tr w:rsidR="00842785" w:rsidRPr="00842785" w:rsidTr="00842785">
        <w:trPr>
          <w:trHeight w:val="255"/>
          <w:jc w:val="center"/>
        </w:trPr>
        <w:tc>
          <w:tcPr>
            <w:tcW w:w="2314" w:type="dxa"/>
            <w:shd w:val="clear" w:color="auto" w:fill="auto"/>
            <w:noWrap/>
            <w:vAlign w:val="bottom"/>
            <w:hideMark/>
          </w:tcPr>
          <w:p w:rsidR="00842785" w:rsidRPr="00842785" w:rsidRDefault="00842785" w:rsidP="00842785">
            <w:pPr>
              <w:widowControl/>
              <w:jc w:val="right"/>
              <w:rPr>
                <w:rFonts w:ascii="Arial" w:hAnsi="Arial" w:cs="Arial"/>
                <w:snapToGrid/>
                <w:sz w:val="20"/>
              </w:rPr>
            </w:pPr>
            <w:r w:rsidRPr="00842785">
              <w:rPr>
                <w:rFonts w:ascii="Arial" w:hAnsi="Arial" w:cs="Arial"/>
                <w:snapToGrid/>
                <w:sz w:val="20"/>
              </w:rPr>
              <w:t>65+</w:t>
            </w:r>
          </w:p>
        </w:tc>
        <w:tc>
          <w:tcPr>
            <w:tcW w:w="1150"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16.6%</w:t>
            </w:r>
          </w:p>
        </w:tc>
        <w:tc>
          <w:tcPr>
            <w:tcW w:w="1273"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23.5%</w:t>
            </w:r>
          </w:p>
        </w:tc>
        <w:tc>
          <w:tcPr>
            <w:tcW w:w="1163"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16.8%</w:t>
            </w:r>
          </w:p>
        </w:tc>
      </w:tr>
      <w:tr w:rsidR="00842785" w:rsidRPr="00842785" w:rsidTr="00842785">
        <w:trPr>
          <w:trHeight w:val="255"/>
          <w:jc w:val="center"/>
        </w:trPr>
        <w:tc>
          <w:tcPr>
            <w:tcW w:w="2314" w:type="dxa"/>
            <w:shd w:val="clear" w:color="auto" w:fill="auto"/>
            <w:noWrap/>
            <w:vAlign w:val="bottom"/>
            <w:hideMark/>
          </w:tcPr>
          <w:p w:rsidR="00842785" w:rsidRPr="00842785" w:rsidRDefault="00842785" w:rsidP="00842785">
            <w:pPr>
              <w:widowControl/>
              <w:jc w:val="right"/>
              <w:rPr>
                <w:rFonts w:ascii="Arial" w:hAnsi="Arial" w:cs="Arial"/>
                <w:snapToGrid/>
                <w:sz w:val="20"/>
              </w:rPr>
            </w:pPr>
          </w:p>
        </w:tc>
        <w:tc>
          <w:tcPr>
            <w:tcW w:w="1150"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 </w:t>
            </w:r>
          </w:p>
        </w:tc>
        <w:tc>
          <w:tcPr>
            <w:tcW w:w="1273"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 </w:t>
            </w:r>
          </w:p>
        </w:tc>
        <w:tc>
          <w:tcPr>
            <w:tcW w:w="1163" w:type="dxa"/>
            <w:shd w:val="clear" w:color="auto" w:fill="auto"/>
            <w:noWrap/>
            <w:vAlign w:val="bottom"/>
            <w:hideMark/>
          </w:tcPr>
          <w:p w:rsidR="00842785" w:rsidRPr="00842785" w:rsidRDefault="00842785" w:rsidP="00842785">
            <w:pPr>
              <w:widowControl/>
              <w:jc w:val="center"/>
              <w:rPr>
                <w:rFonts w:ascii="Arial" w:hAnsi="Arial" w:cs="Arial"/>
                <w:snapToGrid/>
                <w:sz w:val="20"/>
              </w:rPr>
            </w:pPr>
          </w:p>
        </w:tc>
      </w:tr>
      <w:tr w:rsidR="00842785" w:rsidRPr="00842785" w:rsidTr="00842785">
        <w:trPr>
          <w:trHeight w:val="255"/>
          <w:jc w:val="center"/>
        </w:trPr>
        <w:tc>
          <w:tcPr>
            <w:tcW w:w="2314" w:type="dxa"/>
            <w:shd w:val="clear" w:color="auto" w:fill="auto"/>
            <w:noWrap/>
            <w:vAlign w:val="bottom"/>
            <w:hideMark/>
          </w:tcPr>
          <w:p w:rsidR="00842785" w:rsidRPr="00842785" w:rsidRDefault="00842785" w:rsidP="00842785">
            <w:pPr>
              <w:widowControl/>
              <w:jc w:val="right"/>
              <w:rPr>
                <w:rFonts w:ascii="Arial" w:hAnsi="Arial" w:cs="Arial"/>
                <w:snapToGrid/>
                <w:sz w:val="20"/>
                <w:u w:val="single"/>
              </w:rPr>
            </w:pPr>
            <w:r w:rsidRPr="00842785">
              <w:rPr>
                <w:rFonts w:ascii="Arial" w:hAnsi="Arial" w:cs="Arial"/>
                <w:snapToGrid/>
                <w:sz w:val="20"/>
                <w:u w:val="single"/>
              </w:rPr>
              <w:t>Education</w:t>
            </w:r>
          </w:p>
        </w:tc>
        <w:tc>
          <w:tcPr>
            <w:tcW w:w="1150"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 </w:t>
            </w:r>
          </w:p>
        </w:tc>
        <w:tc>
          <w:tcPr>
            <w:tcW w:w="1273"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 </w:t>
            </w:r>
          </w:p>
        </w:tc>
        <w:tc>
          <w:tcPr>
            <w:tcW w:w="1163" w:type="dxa"/>
            <w:shd w:val="clear" w:color="auto" w:fill="auto"/>
            <w:noWrap/>
            <w:vAlign w:val="bottom"/>
            <w:hideMark/>
          </w:tcPr>
          <w:p w:rsidR="00842785" w:rsidRPr="00842785" w:rsidRDefault="00842785" w:rsidP="00842785">
            <w:pPr>
              <w:widowControl/>
              <w:jc w:val="center"/>
              <w:rPr>
                <w:rFonts w:ascii="Arial" w:hAnsi="Arial" w:cs="Arial"/>
                <w:snapToGrid/>
                <w:sz w:val="20"/>
              </w:rPr>
            </w:pPr>
          </w:p>
        </w:tc>
      </w:tr>
      <w:tr w:rsidR="00842785" w:rsidRPr="00842785" w:rsidTr="00842785">
        <w:trPr>
          <w:trHeight w:val="255"/>
          <w:jc w:val="center"/>
        </w:trPr>
        <w:tc>
          <w:tcPr>
            <w:tcW w:w="2314" w:type="dxa"/>
            <w:shd w:val="clear" w:color="auto" w:fill="auto"/>
            <w:noWrap/>
            <w:vAlign w:val="bottom"/>
            <w:hideMark/>
          </w:tcPr>
          <w:p w:rsidR="00842785" w:rsidRPr="00842785" w:rsidRDefault="00842785" w:rsidP="00842785">
            <w:pPr>
              <w:widowControl/>
              <w:jc w:val="right"/>
              <w:rPr>
                <w:rFonts w:ascii="Arial" w:hAnsi="Arial" w:cs="Arial"/>
                <w:snapToGrid/>
                <w:sz w:val="20"/>
              </w:rPr>
            </w:pPr>
            <w:r w:rsidRPr="00842785">
              <w:rPr>
                <w:rFonts w:ascii="Arial" w:hAnsi="Arial" w:cs="Arial"/>
                <w:snapToGrid/>
                <w:sz w:val="20"/>
              </w:rPr>
              <w:t>Less than HS Graduate</w:t>
            </w:r>
          </w:p>
        </w:tc>
        <w:tc>
          <w:tcPr>
            <w:tcW w:w="1150"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14.1%</w:t>
            </w:r>
          </w:p>
        </w:tc>
        <w:tc>
          <w:tcPr>
            <w:tcW w:w="1273"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8.1%</w:t>
            </w:r>
          </w:p>
        </w:tc>
        <w:tc>
          <w:tcPr>
            <w:tcW w:w="1163"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12.3%</w:t>
            </w:r>
          </w:p>
        </w:tc>
      </w:tr>
      <w:tr w:rsidR="00842785" w:rsidRPr="00842785" w:rsidTr="00842785">
        <w:trPr>
          <w:trHeight w:val="255"/>
          <w:jc w:val="center"/>
        </w:trPr>
        <w:tc>
          <w:tcPr>
            <w:tcW w:w="2314" w:type="dxa"/>
            <w:shd w:val="clear" w:color="auto" w:fill="auto"/>
            <w:noWrap/>
            <w:vAlign w:val="bottom"/>
            <w:hideMark/>
          </w:tcPr>
          <w:p w:rsidR="00842785" w:rsidRPr="00842785" w:rsidRDefault="00842785" w:rsidP="00842785">
            <w:pPr>
              <w:widowControl/>
              <w:jc w:val="right"/>
              <w:rPr>
                <w:rFonts w:ascii="Arial" w:hAnsi="Arial" w:cs="Arial"/>
                <w:snapToGrid/>
                <w:sz w:val="20"/>
              </w:rPr>
            </w:pPr>
            <w:r w:rsidRPr="00842785">
              <w:rPr>
                <w:rFonts w:ascii="Arial" w:hAnsi="Arial" w:cs="Arial"/>
                <w:snapToGrid/>
                <w:sz w:val="20"/>
              </w:rPr>
              <w:t>HS Graduate</w:t>
            </w:r>
          </w:p>
        </w:tc>
        <w:tc>
          <w:tcPr>
            <w:tcW w:w="1150"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34.7%</w:t>
            </w:r>
          </w:p>
        </w:tc>
        <w:tc>
          <w:tcPr>
            <w:tcW w:w="1273"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28.4%</w:t>
            </w:r>
          </w:p>
        </w:tc>
        <w:tc>
          <w:tcPr>
            <w:tcW w:w="1163"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33.8%</w:t>
            </w:r>
          </w:p>
        </w:tc>
      </w:tr>
      <w:tr w:rsidR="00842785" w:rsidRPr="00842785" w:rsidTr="00842785">
        <w:trPr>
          <w:trHeight w:val="255"/>
          <w:jc w:val="center"/>
        </w:trPr>
        <w:tc>
          <w:tcPr>
            <w:tcW w:w="2314" w:type="dxa"/>
            <w:shd w:val="clear" w:color="auto" w:fill="auto"/>
            <w:noWrap/>
            <w:vAlign w:val="bottom"/>
            <w:hideMark/>
          </w:tcPr>
          <w:p w:rsidR="00842785" w:rsidRPr="00842785" w:rsidRDefault="00842785" w:rsidP="00842785">
            <w:pPr>
              <w:widowControl/>
              <w:jc w:val="right"/>
              <w:rPr>
                <w:rFonts w:ascii="Arial" w:hAnsi="Arial" w:cs="Arial"/>
                <w:snapToGrid/>
                <w:sz w:val="20"/>
              </w:rPr>
            </w:pPr>
            <w:r w:rsidRPr="00842785">
              <w:rPr>
                <w:rFonts w:ascii="Arial" w:hAnsi="Arial" w:cs="Arial"/>
                <w:snapToGrid/>
                <w:sz w:val="20"/>
              </w:rPr>
              <w:t>Some College</w:t>
            </w:r>
          </w:p>
        </w:tc>
        <w:tc>
          <w:tcPr>
            <w:tcW w:w="1150"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24.1%</w:t>
            </w:r>
          </w:p>
        </w:tc>
        <w:tc>
          <w:tcPr>
            <w:tcW w:w="1273"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26.0%</w:t>
            </w:r>
          </w:p>
        </w:tc>
        <w:tc>
          <w:tcPr>
            <w:tcW w:w="1163"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24.5%</w:t>
            </w:r>
          </w:p>
        </w:tc>
      </w:tr>
      <w:tr w:rsidR="00842785" w:rsidRPr="00842785" w:rsidTr="00842785">
        <w:trPr>
          <w:trHeight w:val="255"/>
          <w:jc w:val="center"/>
        </w:trPr>
        <w:tc>
          <w:tcPr>
            <w:tcW w:w="2314" w:type="dxa"/>
            <w:shd w:val="clear" w:color="auto" w:fill="auto"/>
            <w:noWrap/>
            <w:vAlign w:val="bottom"/>
            <w:hideMark/>
          </w:tcPr>
          <w:p w:rsidR="00842785" w:rsidRPr="00842785" w:rsidRDefault="00842785" w:rsidP="00842785">
            <w:pPr>
              <w:widowControl/>
              <w:jc w:val="right"/>
              <w:rPr>
                <w:rFonts w:ascii="Arial" w:hAnsi="Arial" w:cs="Arial"/>
                <w:snapToGrid/>
                <w:sz w:val="20"/>
              </w:rPr>
            </w:pPr>
            <w:r w:rsidRPr="00842785">
              <w:rPr>
                <w:rFonts w:ascii="Arial" w:hAnsi="Arial" w:cs="Arial"/>
                <w:snapToGrid/>
                <w:sz w:val="20"/>
              </w:rPr>
              <w:t>College Graduate</w:t>
            </w:r>
          </w:p>
        </w:tc>
        <w:tc>
          <w:tcPr>
            <w:tcW w:w="1150"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27.1%</w:t>
            </w:r>
          </w:p>
        </w:tc>
        <w:tc>
          <w:tcPr>
            <w:tcW w:w="1273"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37.0%</w:t>
            </w:r>
          </w:p>
        </w:tc>
        <w:tc>
          <w:tcPr>
            <w:tcW w:w="1163"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28.9%</w:t>
            </w:r>
          </w:p>
        </w:tc>
      </w:tr>
      <w:tr w:rsidR="00842785" w:rsidRPr="00842785" w:rsidTr="00842785">
        <w:trPr>
          <w:trHeight w:val="255"/>
          <w:jc w:val="center"/>
        </w:trPr>
        <w:tc>
          <w:tcPr>
            <w:tcW w:w="2314" w:type="dxa"/>
            <w:shd w:val="clear" w:color="auto" w:fill="auto"/>
            <w:noWrap/>
            <w:vAlign w:val="bottom"/>
            <w:hideMark/>
          </w:tcPr>
          <w:p w:rsidR="00842785" w:rsidRPr="00842785" w:rsidRDefault="00842785" w:rsidP="00842785">
            <w:pPr>
              <w:widowControl/>
              <w:jc w:val="right"/>
              <w:rPr>
                <w:rFonts w:ascii="Arial" w:hAnsi="Arial" w:cs="Arial"/>
                <w:snapToGrid/>
                <w:sz w:val="20"/>
              </w:rPr>
            </w:pPr>
          </w:p>
        </w:tc>
        <w:tc>
          <w:tcPr>
            <w:tcW w:w="1150"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 </w:t>
            </w:r>
          </w:p>
        </w:tc>
        <w:tc>
          <w:tcPr>
            <w:tcW w:w="1273"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 </w:t>
            </w:r>
          </w:p>
        </w:tc>
        <w:tc>
          <w:tcPr>
            <w:tcW w:w="1163" w:type="dxa"/>
            <w:shd w:val="clear" w:color="auto" w:fill="auto"/>
            <w:noWrap/>
            <w:vAlign w:val="bottom"/>
            <w:hideMark/>
          </w:tcPr>
          <w:p w:rsidR="00842785" w:rsidRPr="00842785" w:rsidRDefault="00842785" w:rsidP="00842785">
            <w:pPr>
              <w:widowControl/>
              <w:jc w:val="center"/>
              <w:rPr>
                <w:rFonts w:ascii="Arial" w:hAnsi="Arial" w:cs="Arial"/>
                <w:snapToGrid/>
                <w:sz w:val="20"/>
              </w:rPr>
            </w:pPr>
          </w:p>
        </w:tc>
      </w:tr>
      <w:tr w:rsidR="00842785" w:rsidRPr="00842785" w:rsidTr="00842785">
        <w:trPr>
          <w:trHeight w:val="255"/>
          <w:jc w:val="center"/>
        </w:trPr>
        <w:tc>
          <w:tcPr>
            <w:tcW w:w="2314" w:type="dxa"/>
            <w:shd w:val="clear" w:color="auto" w:fill="auto"/>
            <w:noWrap/>
            <w:vAlign w:val="bottom"/>
            <w:hideMark/>
          </w:tcPr>
          <w:p w:rsidR="00842785" w:rsidRPr="00842785" w:rsidRDefault="00842785" w:rsidP="00842785">
            <w:pPr>
              <w:widowControl/>
              <w:jc w:val="right"/>
              <w:rPr>
                <w:rFonts w:ascii="Arial" w:hAnsi="Arial" w:cs="Arial"/>
                <w:snapToGrid/>
                <w:sz w:val="20"/>
                <w:u w:val="single"/>
              </w:rPr>
            </w:pPr>
            <w:r w:rsidRPr="00842785">
              <w:rPr>
                <w:rFonts w:ascii="Arial" w:hAnsi="Arial" w:cs="Arial"/>
                <w:snapToGrid/>
                <w:sz w:val="20"/>
                <w:u w:val="single"/>
              </w:rPr>
              <w:t>Race/Ethnicity</w:t>
            </w:r>
          </w:p>
        </w:tc>
        <w:tc>
          <w:tcPr>
            <w:tcW w:w="1150"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 </w:t>
            </w:r>
          </w:p>
        </w:tc>
        <w:tc>
          <w:tcPr>
            <w:tcW w:w="1273"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 </w:t>
            </w:r>
          </w:p>
        </w:tc>
        <w:tc>
          <w:tcPr>
            <w:tcW w:w="1163" w:type="dxa"/>
            <w:shd w:val="clear" w:color="auto" w:fill="auto"/>
            <w:noWrap/>
            <w:vAlign w:val="bottom"/>
            <w:hideMark/>
          </w:tcPr>
          <w:p w:rsidR="00842785" w:rsidRPr="00842785" w:rsidRDefault="00842785" w:rsidP="00842785">
            <w:pPr>
              <w:widowControl/>
              <w:jc w:val="center"/>
              <w:rPr>
                <w:rFonts w:ascii="Arial" w:hAnsi="Arial" w:cs="Arial"/>
                <w:snapToGrid/>
                <w:sz w:val="20"/>
              </w:rPr>
            </w:pPr>
          </w:p>
        </w:tc>
      </w:tr>
      <w:tr w:rsidR="00842785" w:rsidRPr="00842785" w:rsidTr="00842785">
        <w:trPr>
          <w:trHeight w:val="255"/>
          <w:jc w:val="center"/>
        </w:trPr>
        <w:tc>
          <w:tcPr>
            <w:tcW w:w="2314" w:type="dxa"/>
            <w:shd w:val="clear" w:color="auto" w:fill="auto"/>
            <w:noWrap/>
            <w:vAlign w:val="bottom"/>
            <w:hideMark/>
          </w:tcPr>
          <w:p w:rsidR="00842785" w:rsidRPr="00842785" w:rsidRDefault="00842785" w:rsidP="00842785">
            <w:pPr>
              <w:widowControl/>
              <w:jc w:val="right"/>
              <w:rPr>
                <w:rFonts w:ascii="Arial" w:hAnsi="Arial" w:cs="Arial"/>
                <w:snapToGrid/>
                <w:sz w:val="20"/>
              </w:rPr>
            </w:pPr>
            <w:r w:rsidRPr="00842785">
              <w:rPr>
                <w:rFonts w:ascii="Arial" w:hAnsi="Arial" w:cs="Arial"/>
                <w:snapToGrid/>
                <w:sz w:val="20"/>
              </w:rPr>
              <w:t>White/not Hispanic</w:t>
            </w:r>
          </w:p>
        </w:tc>
        <w:tc>
          <w:tcPr>
            <w:tcW w:w="1150"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68.8%</w:t>
            </w:r>
          </w:p>
        </w:tc>
        <w:tc>
          <w:tcPr>
            <w:tcW w:w="1273"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73.6%</w:t>
            </w:r>
          </w:p>
        </w:tc>
        <w:tc>
          <w:tcPr>
            <w:tcW w:w="1163"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69.0%</w:t>
            </w:r>
          </w:p>
        </w:tc>
      </w:tr>
      <w:tr w:rsidR="00842785" w:rsidRPr="00842785" w:rsidTr="00842785">
        <w:trPr>
          <w:trHeight w:val="255"/>
          <w:jc w:val="center"/>
        </w:trPr>
        <w:tc>
          <w:tcPr>
            <w:tcW w:w="2314" w:type="dxa"/>
            <w:shd w:val="clear" w:color="auto" w:fill="auto"/>
            <w:noWrap/>
            <w:vAlign w:val="bottom"/>
            <w:hideMark/>
          </w:tcPr>
          <w:p w:rsidR="00842785" w:rsidRPr="00842785" w:rsidRDefault="00842785" w:rsidP="00842785">
            <w:pPr>
              <w:widowControl/>
              <w:jc w:val="right"/>
              <w:rPr>
                <w:rFonts w:ascii="Arial" w:hAnsi="Arial" w:cs="Arial"/>
                <w:snapToGrid/>
                <w:sz w:val="20"/>
              </w:rPr>
            </w:pPr>
            <w:r w:rsidRPr="00842785">
              <w:rPr>
                <w:rFonts w:ascii="Arial" w:hAnsi="Arial" w:cs="Arial"/>
                <w:snapToGrid/>
                <w:sz w:val="20"/>
              </w:rPr>
              <w:t>Black/not Hispanic</w:t>
            </w:r>
          </w:p>
        </w:tc>
        <w:tc>
          <w:tcPr>
            <w:tcW w:w="1150"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11.5%</w:t>
            </w:r>
          </w:p>
        </w:tc>
        <w:tc>
          <w:tcPr>
            <w:tcW w:w="1273"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11.3%</w:t>
            </w:r>
          </w:p>
        </w:tc>
        <w:tc>
          <w:tcPr>
            <w:tcW w:w="1163"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11.6%</w:t>
            </w:r>
          </w:p>
        </w:tc>
      </w:tr>
      <w:tr w:rsidR="00842785" w:rsidRPr="00842785" w:rsidTr="00842785">
        <w:trPr>
          <w:trHeight w:val="255"/>
          <w:jc w:val="center"/>
        </w:trPr>
        <w:tc>
          <w:tcPr>
            <w:tcW w:w="2314" w:type="dxa"/>
            <w:shd w:val="clear" w:color="auto" w:fill="auto"/>
            <w:noWrap/>
            <w:vAlign w:val="bottom"/>
            <w:hideMark/>
          </w:tcPr>
          <w:p w:rsidR="00842785" w:rsidRPr="00842785" w:rsidRDefault="00842785" w:rsidP="00842785">
            <w:pPr>
              <w:widowControl/>
              <w:jc w:val="right"/>
              <w:rPr>
                <w:rFonts w:ascii="Arial" w:hAnsi="Arial" w:cs="Arial"/>
                <w:snapToGrid/>
                <w:sz w:val="20"/>
              </w:rPr>
            </w:pPr>
            <w:r w:rsidRPr="00842785">
              <w:rPr>
                <w:rFonts w:ascii="Arial" w:hAnsi="Arial" w:cs="Arial"/>
                <w:snapToGrid/>
                <w:sz w:val="20"/>
              </w:rPr>
              <w:t>Hispanic</w:t>
            </w:r>
          </w:p>
        </w:tc>
        <w:tc>
          <w:tcPr>
            <w:tcW w:w="1150"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13.7%</w:t>
            </w:r>
          </w:p>
        </w:tc>
        <w:tc>
          <w:tcPr>
            <w:tcW w:w="1273"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8.3%</w:t>
            </w:r>
          </w:p>
        </w:tc>
        <w:tc>
          <w:tcPr>
            <w:tcW w:w="1163"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12.4%</w:t>
            </w:r>
          </w:p>
        </w:tc>
      </w:tr>
      <w:tr w:rsidR="00842785" w:rsidRPr="00842785" w:rsidTr="00842785">
        <w:trPr>
          <w:trHeight w:val="255"/>
          <w:jc w:val="center"/>
        </w:trPr>
        <w:tc>
          <w:tcPr>
            <w:tcW w:w="2314" w:type="dxa"/>
            <w:shd w:val="clear" w:color="auto" w:fill="auto"/>
            <w:noWrap/>
            <w:vAlign w:val="bottom"/>
            <w:hideMark/>
          </w:tcPr>
          <w:p w:rsidR="00842785" w:rsidRPr="00842785" w:rsidRDefault="00842785" w:rsidP="00842785">
            <w:pPr>
              <w:widowControl/>
              <w:jc w:val="right"/>
              <w:rPr>
                <w:rFonts w:ascii="Arial" w:hAnsi="Arial" w:cs="Arial"/>
                <w:snapToGrid/>
                <w:sz w:val="20"/>
              </w:rPr>
            </w:pPr>
            <w:r w:rsidRPr="00842785">
              <w:rPr>
                <w:rFonts w:ascii="Arial" w:hAnsi="Arial" w:cs="Arial"/>
                <w:snapToGrid/>
                <w:sz w:val="20"/>
              </w:rPr>
              <w:t>Other/not Hispanic</w:t>
            </w:r>
          </w:p>
        </w:tc>
        <w:tc>
          <w:tcPr>
            <w:tcW w:w="1150"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6.0%</w:t>
            </w:r>
          </w:p>
        </w:tc>
        <w:tc>
          <w:tcPr>
            <w:tcW w:w="1273"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5.8%</w:t>
            </w:r>
          </w:p>
        </w:tc>
        <w:tc>
          <w:tcPr>
            <w:tcW w:w="1163"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6.0%</w:t>
            </w:r>
          </w:p>
        </w:tc>
      </w:tr>
      <w:tr w:rsidR="00842785" w:rsidRPr="00842785" w:rsidTr="00842785">
        <w:trPr>
          <w:trHeight w:val="255"/>
          <w:jc w:val="center"/>
        </w:trPr>
        <w:tc>
          <w:tcPr>
            <w:tcW w:w="2314" w:type="dxa"/>
            <w:shd w:val="clear" w:color="auto" w:fill="auto"/>
            <w:noWrap/>
            <w:vAlign w:val="bottom"/>
            <w:hideMark/>
          </w:tcPr>
          <w:p w:rsidR="00842785" w:rsidRPr="00842785" w:rsidRDefault="00842785" w:rsidP="00842785">
            <w:pPr>
              <w:widowControl/>
              <w:jc w:val="right"/>
              <w:rPr>
                <w:rFonts w:ascii="Arial" w:hAnsi="Arial" w:cs="Arial"/>
                <w:snapToGrid/>
                <w:sz w:val="20"/>
              </w:rPr>
            </w:pPr>
          </w:p>
        </w:tc>
        <w:tc>
          <w:tcPr>
            <w:tcW w:w="1150"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 </w:t>
            </w:r>
          </w:p>
        </w:tc>
        <w:tc>
          <w:tcPr>
            <w:tcW w:w="1273"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 </w:t>
            </w:r>
          </w:p>
        </w:tc>
        <w:tc>
          <w:tcPr>
            <w:tcW w:w="1163" w:type="dxa"/>
            <w:shd w:val="clear" w:color="auto" w:fill="auto"/>
            <w:noWrap/>
            <w:vAlign w:val="bottom"/>
            <w:hideMark/>
          </w:tcPr>
          <w:p w:rsidR="00842785" w:rsidRPr="00842785" w:rsidRDefault="00842785" w:rsidP="00842785">
            <w:pPr>
              <w:widowControl/>
              <w:jc w:val="center"/>
              <w:rPr>
                <w:rFonts w:ascii="Arial" w:hAnsi="Arial" w:cs="Arial"/>
                <w:snapToGrid/>
                <w:sz w:val="20"/>
              </w:rPr>
            </w:pPr>
          </w:p>
        </w:tc>
      </w:tr>
      <w:tr w:rsidR="00842785" w:rsidRPr="00842785" w:rsidTr="00842785">
        <w:trPr>
          <w:trHeight w:val="255"/>
          <w:jc w:val="center"/>
        </w:trPr>
        <w:tc>
          <w:tcPr>
            <w:tcW w:w="2314" w:type="dxa"/>
            <w:shd w:val="clear" w:color="auto" w:fill="auto"/>
            <w:noWrap/>
            <w:vAlign w:val="bottom"/>
            <w:hideMark/>
          </w:tcPr>
          <w:p w:rsidR="00842785" w:rsidRPr="00842785" w:rsidRDefault="00842785" w:rsidP="00842785">
            <w:pPr>
              <w:widowControl/>
              <w:jc w:val="right"/>
              <w:rPr>
                <w:rFonts w:ascii="Arial" w:hAnsi="Arial" w:cs="Arial"/>
                <w:snapToGrid/>
                <w:sz w:val="20"/>
                <w:u w:val="single"/>
              </w:rPr>
            </w:pPr>
            <w:r w:rsidRPr="00842785">
              <w:rPr>
                <w:rFonts w:ascii="Arial" w:hAnsi="Arial" w:cs="Arial"/>
                <w:snapToGrid/>
                <w:sz w:val="20"/>
                <w:u w:val="single"/>
              </w:rPr>
              <w:t>Region</w:t>
            </w:r>
          </w:p>
        </w:tc>
        <w:tc>
          <w:tcPr>
            <w:tcW w:w="1150"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 </w:t>
            </w:r>
          </w:p>
        </w:tc>
        <w:tc>
          <w:tcPr>
            <w:tcW w:w="1273"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 </w:t>
            </w:r>
          </w:p>
        </w:tc>
        <w:tc>
          <w:tcPr>
            <w:tcW w:w="1163" w:type="dxa"/>
            <w:shd w:val="clear" w:color="auto" w:fill="auto"/>
            <w:noWrap/>
            <w:vAlign w:val="bottom"/>
            <w:hideMark/>
          </w:tcPr>
          <w:p w:rsidR="00842785" w:rsidRPr="00842785" w:rsidRDefault="00842785" w:rsidP="00842785">
            <w:pPr>
              <w:widowControl/>
              <w:jc w:val="center"/>
              <w:rPr>
                <w:rFonts w:ascii="Arial" w:hAnsi="Arial" w:cs="Arial"/>
                <w:snapToGrid/>
                <w:sz w:val="20"/>
              </w:rPr>
            </w:pPr>
          </w:p>
        </w:tc>
      </w:tr>
      <w:tr w:rsidR="00842785" w:rsidRPr="00842785" w:rsidTr="00842785">
        <w:trPr>
          <w:trHeight w:val="255"/>
          <w:jc w:val="center"/>
        </w:trPr>
        <w:tc>
          <w:tcPr>
            <w:tcW w:w="2314" w:type="dxa"/>
            <w:shd w:val="clear" w:color="auto" w:fill="auto"/>
            <w:noWrap/>
            <w:vAlign w:val="bottom"/>
            <w:hideMark/>
          </w:tcPr>
          <w:p w:rsidR="00842785" w:rsidRPr="00842785" w:rsidRDefault="00842785" w:rsidP="00842785">
            <w:pPr>
              <w:widowControl/>
              <w:jc w:val="right"/>
              <w:rPr>
                <w:rFonts w:ascii="Arial" w:hAnsi="Arial" w:cs="Arial"/>
                <w:snapToGrid/>
                <w:sz w:val="20"/>
              </w:rPr>
            </w:pPr>
            <w:r w:rsidRPr="00842785">
              <w:rPr>
                <w:rFonts w:ascii="Arial" w:hAnsi="Arial" w:cs="Arial"/>
                <w:snapToGrid/>
                <w:sz w:val="20"/>
              </w:rPr>
              <w:t>Northeast</w:t>
            </w:r>
          </w:p>
        </w:tc>
        <w:tc>
          <w:tcPr>
            <w:tcW w:w="1150"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18.5%</w:t>
            </w:r>
          </w:p>
        </w:tc>
        <w:tc>
          <w:tcPr>
            <w:tcW w:w="1273"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17.9%</w:t>
            </w:r>
          </w:p>
        </w:tc>
        <w:tc>
          <w:tcPr>
            <w:tcW w:w="1163"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18.9%</w:t>
            </w:r>
          </w:p>
        </w:tc>
      </w:tr>
      <w:tr w:rsidR="00842785" w:rsidRPr="00842785" w:rsidTr="00842785">
        <w:trPr>
          <w:trHeight w:val="255"/>
          <w:jc w:val="center"/>
        </w:trPr>
        <w:tc>
          <w:tcPr>
            <w:tcW w:w="2314" w:type="dxa"/>
            <w:shd w:val="clear" w:color="auto" w:fill="auto"/>
            <w:noWrap/>
            <w:vAlign w:val="bottom"/>
            <w:hideMark/>
          </w:tcPr>
          <w:p w:rsidR="00842785" w:rsidRPr="00842785" w:rsidRDefault="00842785" w:rsidP="00842785">
            <w:pPr>
              <w:widowControl/>
              <w:jc w:val="right"/>
              <w:rPr>
                <w:rFonts w:ascii="Arial" w:hAnsi="Arial" w:cs="Arial"/>
                <w:snapToGrid/>
                <w:sz w:val="20"/>
              </w:rPr>
            </w:pPr>
            <w:r w:rsidRPr="00842785">
              <w:rPr>
                <w:rFonts w:ascii="Arial" w:hAnsi="Arial" w:cs="Arial"/>
                <w:snapToGrid/>
                <w:sz w:val="20"/>
              </w:rPr>
              <w:t>Midwest</w:t>
            </w:r>
          </w:p>
        </w:tc>
        <w:tc>
          <w:tcPr>
            <w:tcW w:w="1150"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22.0%</w:t>
            </w:r>
          </w:p>
        </w:tc>
        <w:tc>
          <w:tcPr>
            <w:tcW w:w="1273"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24.4%</w:t>
            </w:r>
          </w:p>
        </w:tc>
        <w:tc>
          <w:tcPr>
            <w:tcW w:w="1163"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22.7%</w:t>
            </w:r>
          </w:p>
        </w:tc>
      </w:tr>
      <w:tr w:rsidR="00842785" w:rsidRPr="00842785" w:rsidTr="00842785">
        <w:trPr>
          <w:trHeight w:val="255"/>
          <w:jc w:val="center"/>
        </w:trPr>
        <w:tc>
          <w:tcPr>
            <w:tcW w:w="2314" w:type="dxa"/>
            <w:shd w:val="clear" w:color="auto" w:fill="auto"/>
            <w:noWrap/>
            <w:vAlign w:val="bottom"/>
            <w:hideMark/>
          </w:tcPr>
          <w:p w:rsidR="00842785" w:rsidRPr="00842785" w:rsidRDefault="00842785" w:rsidP="00842785">
            <w:pPr>
              <w:widowControl/>
              <w:jc w:val="right"/>
              <w:rPr>
                <w:rFonts w:ascii="Arial" w:hAnsi="Arial" w:cs="Arial"/>
                <w:snapToGrid/>
                <w:sz w:val="20"/>
              </w:rPr>
            </w:pPr>
            <w:r w:rsidRPr="00842785">
              <w:rPr>
                <w:rFonts w:ascii="Arial" w:hAnsi="Arial" w:cs="Arial"/>
                <w:snapToGrid/>
                <w:sz w:val="20"/>
              </w:rPr>
              <w:t>South</w:t>
            </w:r>
          </w:p>
        </w:tc>
        <w:tc>
          <w:tcPr>
            <w:tcW w:w="1150"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36.8%</w:t>
            </w:r>
          </w:p>
        </w:tc>
        <w:tc>
          <w:tcPr>
            <w:tcW w:w="1273"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39.4%</w:t>
            </w:r>
          </w:p>
        </w:tc>
        <w:tc>
          <w:tcPr>
            <w:tcW w:w="1163"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37.3%</w:t>
            </w:r>
          </w:p>
        </w:tc>
      </w:tr>
      <w:tr w:rsidR="00842785" w:rsidRPr="00842785" w:rsidTr="00842785">
        <w:trPr>
          <w:trHeight w:val="255"/>
          <w:jc w:val="center"/>
        </w:trPr>
        <w:tc>
          <w:tcPr>
            <w:tcW w:w="2314" w:type="dxa"/>
            <w:shd w:val="clear" w:color="auto" w:fill="auto"/>
            <w:noWrap/>
            <w:vAlign w:val="bottom"/>
            <w:hideMark/>
          </w:tcPr>
          <w:p w:rsidR="00842785" w:rsidRPr="00842785" w:rsidRDefault="00842785" w:rsidP="00842785">
            <w:pPr>
              <w:widowControl/>
              <w:jc w:val="right"/>
              <w:rPr>
                <w:rFonts w:ascii="Arial" w:hAnsi="Arial" w:cs="Arial"/>
                <w:snapToGrid/>
                <w:sz w:val="20"/>
              </w:rPr>
            </w:pPr>
            <w:r w:rsidRPr="00842785">
              <w:rPr>
                <w:rFonts w:ascii="Arial" w:hAnsi="Arial" w:cs="Arial"/>
                <w:snapToGrid/>
                <w:sz w:val="20"/>
              </w:rPr>
              <w:t>West</w:t>
            </w:r>
          </w:p>
        </w:tc>
        <w:tc>
          <w:tcPr>
            <w:tcW w:w="1150"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22.7%</w:t>
            </w:r>
          </w:p>
        </w:tc>
        <w:tc>
          <w:tcPr>
            <w:tcW w:w="1273"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18.3%</w:t>
            </w:r>
          </w:p>
        </w:tc>
        <w:tc>
          <w:tcPr>
            <w:tcW w:w="1163"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21.1%</w:t>
            </w:r>
          </w:p>
        </w:tc>
      </w:tr>
      <w:tr w:rsidR="00842785" w:rsidRPr="00842785" w:rsidTr="00842785">
        <w:trPr>
          <w:trHeight w:val="255"/>
          <w:jc w:val="center"/>
        </w:trPr>
        <w:tc>
          <w:tcPr>
            <w:tcW w:w="2314" w:type="dxa"/>
            <w:shd w:val="clear" w:color="auto" w:fill="auto"/>
            <w:noWrap/>
            <w:vAlign w:val="bottom"/>
            <w:hideMark/>
          </w:tcPr>
          <w:p w:rsidR="00842785" w:rsidRPr="00842785" w:rsidRDefault="00842785" w:rsidP="00842785">
            <w:pPr>
              <w:widowControl/>
              <w:jc w:val="right"/>
              <w:rPr>
                <w:rFonts w:ascii="Arial" w:hAnsi="Arial" w:cs="Arial"/>
                <w:snapToGrid/>
                <w:sz w:val="20"/>
              </w:rPr>
            </w:pPr>
          </w:p>
        </w:tc>
        <w:tc>
          <w:tcPr>
            <w:tcW w:w="1150"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 </w:t>
            </w:r>
          </w:p>
        </w:tc>
        <w:tc>
          <w:tcPr>
            <w:tcW w:w="1273"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 </w:t>
            </w:r>
          </w:p>
        </w:tc>
        <w:tc>
          <w:tcPr>
            <w:tcW w:w="1163" w:type="dxa"/>
            <w:shd w:val="clear" w:color="auto" w:fill="auto"/>
            <w:noWrap/>
            <w:vAlign w:val="bottom"/>
            <w:hideMark/>
          </w:tcPr>
          <w:p w:rsidR="00842785" w:rsidRPr="00842785" w:rsidRDefault="00842785" w:rsidP="00842785">
            <w:pPr>
              <w:widowControl/>
              <w:jc w:val="center"/>
              <w:rPr>
                <w:rFonts w:ascii="Arial" w:hAnsi="Arial" w:cs="Arial"/>
                <w:snapToGrid/>
                <w:sz w:val="20"/>
              </w:rPr>
            </w:pPr>
          </w:p>
        </w:tc>
      </w:tr>
      <w:tr w:rsidR="00842785" w:rsidRPr="00842785" w:rsidTr="00842785">
        <w:trPr>
          <w:trHeight w:val="255"/>
          <w:jc w:val="center"/>
        </w:trPr>
        <w:tc>
          <w:tcPr>
            <w:tcW w:w="2314" w:type="dxa"/>
            <w:shd w:val="clear" w:color="auto" w:fill="auto"/>
            <w:noWrap/>
            <w:vAlign w:val="bottom"/>
            <w:hideMark/>
          </w:tcPr>
          <w:p w:rsidR="00842785" w:rsidRPr="00842785" w:rsidRDefault="00842785" w:rsidP="00842785">
            <w:pPr>
              <w:widowControl/>
              <w:jc w:val="right"/>
              <w:rPr>
                <w:rFonts w:ascii="Arial" w:hAnsi="Arial" w:cs="Arial"/>
                <w:snapToGrid/>
                <w:sz w:val="20"/>
                <w:u w:val="single"/>
              </w:rPr>
            </w:pPr>
            <w:r w:rsidRPr="00842785">
              <w:rPr>
                <w:rFonts w:ascii="Arial" w:hAnsi="Arial" w:cs="Arial"/>
                <w:snapToGrid/>
                <w:sz w:val="20"/>
                <w:u w:val="single"/>
              </w:rPr>
              <w:t>County Pop. Density</w:t>
            </w:r>
          </w:p>
        </w:tc>
        <w:tc>
          <w:tcPr>
            <w:tcW w:w="1150"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 </w:t>
            </w:r>
          </w:p>
        </w:tc>
        <w:tc>
          <w:tcPr>
            <w:tcW w:w="1273"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 </w:t>
            </w:r>
          </w:p>
        </w:tc>
        <w:tc>
          <w:tcPr>
            <w:tcW w:w="1163" w:type="dxa"/>
            <w:shd w:val="clear" w:color="auto" w:fill="auto"/>
            <w:noWrap/>
            <w:vAlign w:val="bottom"/>
            <w:hideMark/>
          </w:tcPr>
          <w:p w:rsidR="00842785" w:rsidRPr="00842785" w:rsidRDefault="00842785" w:rsidP="00842785">
            <w:pPr>
              <w:widowControl/>
              <w:jc w:val="center"/>
              <w:rPr>
                <w:rFonts w:ascii="Arial" w:hAnsi="Arial" w:cs="Arial"/>
                <w:snapToGrid/>
                <w:sz w:val="20"/>
              </w:rPr>
            </w:pPr>
          </w:p>
        </w:tc>
      </w:tr>
      <w:tr w:rsidR="00842785" w:rsidRPr="00842785" w:rsidTr="00842785">
        <w:trPr>
          <w:trHeight w:val="255"/>
          <w:jc w:val="center"/>
        </w:trPr>
        <w:tc>
          <w:tcPr>
            <w:tcW w:w="2314" w:type="dxa"/>
            <w:shd w:val="clear" w:color="auto" w:fill="auto"/>
            <w:noWrap/>
            <w:vAlign w:val="bottom"/>
            <w:hideMark/>
          </w:tcPr>
          <w:p w:rsidR="00842785" w:rsidRPr="00842785" w:rsidRDefault="00842785" w:rsidP="00842785">
            <w:pPr>
              <w:widowControl/>
              <w:jc w:val="right"/>
              <w:rPr>
                <w:rFonts w:ascii="Arial" w:hAnsi="Arial" w:cs="Arial"/>
                <w:snapToGrid/>
                <w:sz w:val="20"/>
              </w:rPr>
            </w:pPr>
            <w:r w:rsidRPr="00842785">
              <w:rPr>
                <w:rFonts w:ascii="Arial" w:hAnsi="Arial" w:cs="Arial"/>
                <w:snapToGrid/>
                <w:sz w:val="20"/>
              </w:rPr>
              <w:t>1 - Lowest</w:t>
            </w:r>
          </w:p>
        </w:tc>
        <w:tc>
          <w:tcPr>
            <w:tcW w:w="1150"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20.1%</w:t>
            </w:r>
          </w:p>
        </w:tc>
        <w:tc>
          <w:tcPr>
            <w:tcW w:w="1273"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23.1%</w:t>
            </w:r>
          </w:p>
        </w:tc>
        <w:tc>
          <w:tcPr>
            <w:tcW w:w="1163"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20.6%</w:t>
            </w:r>
          </w:p>
        </w:tc>
      </w:tr>
      <w:tr w:rsidR="00842785" w:rsidRPr="00842785" w:rsidTr="00842785">
        <w:trPr>
          <w:trHeight w:val="255"/>
          <w:jc w:val="center"/>
        </w:trPr>
        <w:tc>
          <w:tcPr>
            <w:tcW w:w="2314" w:type="dxa"/>
            <w:shd w:val="clear" w:color="auto" w:fill="auto"/>
            <w:noWrap/>
            <w:vAlign w:val="bottom"/>
            <w:hideMark/>
          </w:tcPr>
          <w:p w:rsidR="00842785" w:rsidRPr="00842785" w:rsidRDefault="00842785" w:rsidP="00842785">
            <w:pPr>
              <w:widowControl/>
              <w:jc w:val="right"/>
              <w:rPr>
                <w:rFonts w:ascii="Arial" w:hAnsi="Arial" w:cs="Arial"/>
                <w:snapToGrid/>
                <w:sz w:val="20"/>
              </w:rPr>
            </w:pPr>
            <w:r w:rsidRPr="00842785">
              <w:rPr>
                <w:rFonts w:ascii="Arial" w:hAnsi="Arial" w:cs="Arial"/>
                <w:snapToGrid/>
                <w:sz w:val="20"/>
              </w:rPr>
              <w:t>2</w:t>
            </w:r>
          </w:p>
        </w:tc>
        <w:tc>
          <w:tcPr>
            <w:tcW w:w="1150"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20.0%</w:t>
            </w:r>
          </w:p>
        </w:tc>
        <w:tc>
          <w:tcPr>
            <w:tcW w:w="1273"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22.0%</w:t>
            </w:r>
          </w:p>
        </w:tc>
        <w:tc>
          <w:tcPr>
            <w:tcW w:w="1163"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20.4%</w:t>
            </w:r>
          </w:p>
        </w:tc>
      </w:tr>
      <w:tr w:rsidR="00842785" w:rsidRPr="00842785" w:rsidTr="00842785">
        <w:trPr>
          <w:trHeight w:val="255"/>
          <w:jc w:val="center"/>
        </w:trPr>
        <w:tc>
          <w:tcPr>
            <w:tcW w:w="2314" w:type="dxa"/>
            <w:shd w:val="clear" w:color="auto" w:fill="auto"/>
            <w:noWrap/>
            <w:vAlign w:val="bottom"/>
            <w:hideMark/>
          </w:tcPr>
          <w:p w:rsidR="00842785" w:rsidRPr="00842785" w:rsidRDefault="00842785" w:rsidP="00842785">
            <w:pPr>
              <w:widowControl/>
              <w:jc w:val="right"/>
              <w:rPr>
                <w:rFonts w:ascii="Arial" w:hAnsi="Arial" w:cs="Arial"/>
                <w:snapToGrid/>
                <w:sz w:val="20"/>
              </w:rPr>
            </w:pPr>
            <w:r w:rsidRPr="00842785">
              <w:rPr>
                <w:rFonts w:ascii="Arial" w:hAnsi="Arial" w:cs="Arial"/>
                <w:snapToGrid/>
                <w:sz w:val="20"/>
              </w:rPr>
              <w:t>3</w:t>
            </w:r>
          </w:p>
        </w:tc>
        <w:tc>
          <w:tcPr>
            <w:tcW w:w="1150"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20.1%</w:t>
            </w:r>
          </w:p>
        </w:tc>
        <w:tc>
          <w:tcPr>
            <w:tcW w:w="1273"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21.2%</w:t>
            </w:r>
          </w:p>
        </w:tc>
        <w:tc>
          <w:tcPr>
            <w:tcW w:w="1163"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20.1%</w:t>
            </w:r>
          </w:p>
        </w:tc>
      </w:tr>
      <w:tr w:rsidR="00842785" w:rsidRPr="00842785" w:rsidTr="00842785">
        <w:trPr>
          <w:trHeight w:val="255"/>
          <w:jc w:val="center"/>
        </w:trPr>
        <w:tc>
          <w:tcPr>
            <w:tcW w:w="2314" w:type="dxa"/>
            <w:shd w:val="clear" w:color="auto" w:fill="auto"/>
            <w:noWrap/>
            <w:vAlign w:val="bottom"/>
            <w:hideMark/>
          </w:tcPr>
          <w:p w:rsidR="00842785" w:rsidRPr="00842785" w:rsidRDefault="00842785" w:rsidP="00842785">
            <w:pPr>
              <w:widowControl/>
              <w:jc w:val="right"/>
              <w:rPr>
                <w:rFonts w:ascii="Arial" w:hAnsi="Arial" w:cs="Arial"/>
                <w:snapToGrid/>
                <w:sz w:val="20"/>
              </w:rPr>
            </w:pPr>
            <w:r w:rsidRPr="00842785">
              <w:rPr>
                <w:rFonts w:ascii="Arial" w:hAnsi="Arial" w:cs="Arial"/>
                <w:snapToGrid/>
                <w:sz w:val="20"/>
              </w:rPr>
              <w:t>4</w:t>
            </w:r>
          </w:p>
        </w:tc>
        <w:tc>
          <w:tcPr>
            <w:tcW w:w="1150"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20.2%</w:t>
            </w:r>
          </w:p>
        </w:tc>
        <w:tc>
          <w:tcPr>
            <w:tcW w:w="1273"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19.2%</w:t>
            </w:r>
          </w:p>
        </w:tc>
        <w:tc>
          <w:tcPr>
            <w:tcW w:w="1163"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20.4%</w:t>
            </w:r>
          </w:p>
        </w:tc>
      </w:tr>
      <w:tr w:rsidR="00842785" w:rsidRPr="00842785" w:rsidTr="00842785">
        <w:trPr>
          <w:trHeight w:val="255"/>
          <w:jc w:val="center"/>
        </w:trPr>
        <w:tc>
          <w:tcPr>
            <w:tcW w:w="2314" w:type="dxa"/>
            <w:shd w:val="clear" w:color="auto" w:fill="auto"/>
            <w:noWrap/>
            <w:vAlign w:val="bottom"/>
            <w:hideMark/>
          </w:tcPr>
          <w:p w:rsidR="00842785" w:rsidRPr="00842785" w:rsidRDefault="00842785" w:rsidP="00842785">
            <w:pPr>
              <w:widowControl/>
              <w:jc w:val="right"/>
              <w:rPr>
                <w:rFonts w:ascii="Arial" w:hAnsi="Arial" w:cs="Arial"/>
                <w:snapToGrid/>
                <w:sz w:val="20"/>
              </w:rPr>
            </w:pPr>
            <w:r w:rsidRPr="00842785">
              <w:rPr>
                <w:rFonts w:ascii="Arial" w:hAnsi="Arial" w:cs="Arial"/>
                <w:snapToGrid/>
                <w:sz w:val="20"/>
              </w:rPr>
              <w:t>5 - Highest</w:t>
            </w:r>
          </w:p>
        </w:tc>
        <w:tc>
          <w:tcPr>
            <w:tcW w:w="1150"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19.6%</w:t>
            </w:r>
          </w:p>
        </w:tc>
        <w:tc>
          <w:tcPr>
            <w:tcW w:w="1273"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14.5%</w:t>
            </w:r>
          </w:p>
        </w:tc>
        <w:tc>
          <w:tcPr>
            <w:tcW w:w="1163"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18.6%</w:t>
            </w:r>
          </w:p>
        </w:tc>
      </w:tr>
      <w:tr w:rsidR="00842785" w:rsidRPr="00842785" w:rsidTr="00842785">
        <w:trPr>
          <w:trHeight w:val="255"/>
          <w:jc w:val="center"/>
        </w:trPr>
        <w:tc>
          <w:tcPr>
            <w:tcW w:w="2314" w:type="dxa"/>
            <w:shd w:val="clear" w:color="auto" w:fill="auto"/>
            <w:noWrap/>
            <w:vAlign w:val="bottom"/>
            <w:hideMark/>
          </w:tcPr>
          <w:p w:rsidR="00842785" w:rsidRPr="00842785" w:rsidRDefault="00842785" w:rsidP="00842785">
            <w:pPr>
              <w:widowControl/>
              <w:jc w:val="right"/>
              <w:rPr>
                <w:rFonts w:ascii="Arial" w:hAnsi="Arial" w:cs="Arial"/>
                <w:snapToGrid/>
                <w:sz w:val="20"/>
              </w:rPr>
            </w:pPr>
          </w:p>
        </w:tc>
        <w:tc>
          <w:tcPr>
            <w:tcW w:w="1150"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 </w:t>
            </w:r>
          </w:p>
        </w:tc>
        <w:tc>
          <w:tcPr>
            <w:tcW w:w="1273"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 </w:t>
            </w:r>
          </w:p>
        </w:tc>
        <w:tc>
          <w:tcPr>
            <w:tcW w:w="1163" w:type="dxa"/>
            <w:shd w:val="clear" w:color="auto" w:fill="auto"/>
            <w:noWrap/>
            <w:vAlign w:val="bottom"/>
            <w:hideMark/>
          </w:tcPr>
          <w:p w:rsidR="00842785" w:rsidRPr="00842785" w:rsidRDefault="00842785" w:rsidP="00842785">
            <w:pPr>
              <w:widowControl/>
              <w:jc w:val="center"/>
              <w:rPr>
                <w:rFonts w:ascii="Arial" w:hAnsi="Arial" w:cs="Arial"/>
                <w:snapToGrid/>
                <w:sz w:val="20"/>
              </w:rPr>
            </w:pPr>
          </w:p>
        </w:tc>
      </w:tr>
      <w:tr w:rsidR="00842785" w:rsidRPr="00842785" w:rsidTr="00842785">
        <w:trPr>
          <w:trHeight w:val="255"/>
          <w:jc w:val="center"/>
        </w:trPr>
        <w:tc>
          <w:tcPr>
            <w:tcW w:w="2314" w:type="dxa"/>
            <w:shd w:val="clear" w:color="auto" w:fill="auto"/>
            <w:noWrap/>
            <w:vAlign w:val="bottom"/>
            <w:hideMark/>
          </w:tcPr>
          <w:p w:rsidR="00842785" w:rsidRPr="00842785" w:rsidRDefault="00842785" w:rsidP="00842785">
            <w:pPr>
              <w:widowControl/>
              <w:jc w:val="right"/>
              <w:rPr>
                <w:rFonts w:ascii="Arial" w:hAnsi="Arial" w:cs="Arial"/>
                <w:snapToGrid/>
                <w:sz w:val="20"/>
                <w:u w:val="single"/>
              </w:rPr>
            </w:pPr>
            <w:r w:rsidRPr="00842785">
              <w:rPr>
                <w:rFonts w:ascii="Arial" w:hAnsi="Arial" w:cs="Arial"/>
                <w:snapToGrid/>
                <w:sz w:val="20"/>
                <w:u w:val="single"/>
              </w:rPr>
              <w:t>Household Phone Use</w:t>
            </w:r>
          </w:p>
        </w:tc>
        <w:tc>
          <w:tcPr>
            <w:tcW w:w="1150"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May</w:t>
            </w:r>
          </w:p>
        </w:tc>
        <w:tc>
          <w:tcPr>
            <w:tcW w:w="1273"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 </w:t>
            </w:r>
          </w:p>
        </w:tc>
        <w:tc>
          <w:tcPr>
            <w:tcW w:w="1163" w:type="dxa"/>
            <w:shd w:val="clear" w:color="auto" w:fill="auto"/>
            <w:noWrap/>
            <w:vAlign w:val="bottom"/>
            <w:hideMark/>
          </w:tcPr>
          <w:p w:rsidR="00842785" w:rsidRPr="00842785" w:rsidRDefault="00842785" w:rsidP="00842785">
            <w:pPr>
              <w:widowControl/>
              <w:jc w:val="center"/>
              <w:rPr>
                <w:rFonts w:ascii="Arial" w:hAnsi="Arial" w:cs="Arial"/>
                <w:snapToGrid/>
                <w:sz w:val="20"/>
              </w:rPr>
            </w:pPr>
          </w:p>
        </w:tc>
      </w:tr>
      <w:tr w:rsidR="00842785" w:rsidRPr="00842785" w:rsidTr="00842785">
        <w:trPr>
          <w:trHeight w:val="255"/>
          <w:jc w:val="center"/>
        </w:trPr>
        <w:tc>
          <w:tcPr>
            <w:tcW w:w="2314" w:type="dxa"/>
            <w:shd w:val="clear" w:color="auto" w:fill="auto"/>
            <w:noWrap/>
            <w:vAlign w:val="bottom"/>
            <w:hideMark/>
          </w:tcPr>
          <w:p w:rsidR="00842785" w:rsidRPr="00842785" w:rsidRDefault="00842785" w:rsidP="00842785">
            <w:pPr>
              <w:widowControl/>
              <w:jc w:val="right"/>
              <w:rPr>
                <w:rFonts w:ascii="Arial" w:hAnsi="Arial" w:cs="Arial"/>
                <w:snapToGrid/>
                <w:sz w:val="20"/>
              </w:rPr>
            </w:pPr>
            <w:r w:rsidRPr="00842785">
              <w:rPr>
                <w:rFonts w:ascii="Arial" w:hAnsi="Arial" w:cs="Arial"/>
                <w:snapToGrid/>
                <w:sz w:val="20"/>
              </w:rPr>
              <w:t>LLO</w:t>
            </w:r>
          </w:p>
        </w:tc>
        <w:tc>
          <w:tcPr>
            <w:tcW w:w="1150"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11.0%</w:t>
            </w:r>
          </w:p>
        </w:tc>
        <w:tc>
          <w:tcPr>
            <w:tcW w:w="1273"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10.9%</w:t>
            </w:r>
          </w:p>
        </w:tc>
        <w:tc>
          <w:tcPr>
            <w:tcW w:w="1163"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11.2%</w:t>
            </w:r>
          </w:p>
        </w:tc>
      </w:tr>
      <w:tr w:rsidR="00842785" w:rsidRPr="00842785" w:rsidTr="00842785">
        <w:trPr>
          <w:trHeight w:val="255"/>
          <w:jc w:val="center"/>
        </w:trPr>
        <w:tc>
          <w:tcPr>
            <w:tcW w:w="2314" w:type="dxa"/>
            <w:shd w:val="clear" w:color="auto" w:fill="auto"/>
            <w:noWrap/>
            <w:vAlign w:val="bottom"/>
            <w:hideMark/>
          </w:tcPr>
          <w:p w:rsidR="00842785" w:rsidRPr="00842785" w:rsidRDefault="00842785" w:rsidP="00842785">
            <w:pPr>
              <w:widowControl/>
              <w:jc w:val="right"/>
              <w:rPr>
                <w:rFonts w:ascii="Arial" w:hAnsi="Arial" w:cs="Arial"/>
                <w:snapToGrid/>
                <w:sz w:val="20"/>
              </w:rPr>
            </w:pPr>
            <w:r w:rsidRPr="00842785">
              <w:rPr>
                <w:rFonts w:ascii="Arial" w:hAnsi="Arial" w:cs="Arial"/>
                <w:snapToGrid/>
                <w:sz w:val="20"/>
              </w:rPr>
              <w:t>Dual - few,</w:t>
            </w:r>
            <w:r>
              <w:rPr>
                <w:rFonts w:ascii="Arial" w:hAnsi="Arial" w:cs="Arial"/>
                <w:snapToGrid/>
                <w:sz w:val="20"/>
              </w:rPr>
              <w:t xml:space="preserve"> </w:t>
            </w:r>
            <w:r w:rsidRPr="00842785">
              <w:rPr>
                <w:rFonts w:ascii="Arial" w:hAnsi="Arial" w:cs="Arial"/>
                <w:snapToGrid/>
                <w:sz w:val="20"/>
              </w:rPr>
              <w:t>some cell</w:t>
            </w:r>
          </w:p>
        </w:tc>
        <w:tc>
          <w:tcPr>
            <w:tcW w:w="1150"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48.2%</w:t>
            </w:r>
          </w:p>
        </w:tc>
        <w:tc>
          <w:tcPr>
            <w:tcW w:w="1273"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57.5%</w:t>
            </w:r>
          </w:p>
        </w:tc>
        <w:tc>
          <w:tcPr>
            <w:tcW w:w="1163"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47.2%</w:t>
            </w:r>
          </w:p>
        </w:tc>
      </w:tr>
      <w:tr w:rsidR="00842785" w:rsidRPr="00842785" w:rsidTr="00842785">
        <w:trPr>
          <w:trHeight w:val="255"/>
          <w:jc w:val="center"/>
        </w:trPr>
        <w:tc>
          <w:tcPr>
            <w:tcW w:w="2314" w:type="dxa"/>
            <w:shd w:val="clear" w:color="auto" w:fill="auto"/>
            <w:noWrap/>
            <w:vAlign w:val="bottom"/>
            <w:hideMark/>
          </w:tcPr>
          <w:p w:rsidR="00842785" w:rsidRPr="00842785" w:rsidRDefault="00842785" w:rsidP="00842785">
            <w:pPr>
              <w:widowControl/>
              <w:jc w:val="right"/>
              <w:rPr>
                <w:rFonts w:ascii="Arial" w:hAnsi="Arial" w:cs="Arial"/>
                <w:snapToGrid/>
                <w:sz w:val="20"/>
              </w:rPr>
            </w:pPr>
            <w:r w:rsidRPr="00842785">
              <w:rPr>
                <w:rFonts w:ascii="Arial" w:hAnsi="Arial" w:cs="Arial"/>
                <w:snapToGrid/>
                <w:sz w:val="20"/>
              </w:rPr>
              <w:t>Dual - most cell</w:t>
            </w:r>
          </w:p>
        </w:tc>
        <w:tc>
          <w:tcPr>
            <w:tcW w:w="1150"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17.4%</w:t>
            </w:r>
          </w:p>
        </w:tc>
        <w:tc>
          <w:tcPr>
            <w:tcW w:w="1273"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16.5%</w:t>
            </w:r>
          </w:p>
        </w:tc>
        <w:tc>
          <w:tcPr>
            <w:tcW w:w="1163" w:type="dxa"/>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16.0%</w:t>
            </w:r>
          </w:p>
        </w:tc>
      </w:tr>
      <w:tr w:rsidR="00842785" w:rsidRPr="00842785" w:rsidTr="00842785">
        <w:trPr>
          <w:trHeight w:val="255"/>
          <w:jc w:val="center"/>
        </w:trPr>
        <w:tc>
          <w:tcPr>
            <w:tcW w:w="2314" w:type="dxa"/>
            <w:tcBorders>
              <w:bottom w:val="single" w:sz="4" w:space="0" w:color="auto"/>
            </w:tcBorders>
            <w:shd w:val="clear" w:color="auto" w:fill="auto"/>
            <w:noWrap/>
            <w:vAlign w:val="bottom"/>
            <w:hideMark/>
          </w:tcPr>
          <w:p w:rsidR="00842785" w:rsidRPr="00842785" w:rsidRDefault="00842785" w:rsidP="00842785">
            <w:pPr>
              <w:widowControl/>
              <w:jc w:val="right"/>
              <w:rPr>
                <w:rFonts w:ascii="Arial" w:hAnsi="Arial" w:cs="Arial"/>
                <w:snapToGrid/>
                <w:sz w:val="20"/>
              </w:rPr>
            </w:pPr>
            <w:r w:rsidRPr="00842785">
              <w:rPr>
                <w:rFonts w:ascii="Arial" w:hAnsi="Arial" w:cs="Arial"/>
                <w:snapToGrid/>
                <w:sz w:val="20"/>
              </w:rPr>
              <w:t>CPO</w:t>
            </w:r>
          </w:p>
        </w:tc>
        <w:tc>
          <w:tcPr>
            <w:tcW w:w="1150" w:type="dxa"/>
            <w:tcBorders>
              <w:bottom w:val="single" w:sz="4" w:space="0" w:color="auto"/>
            </w:tcBorders>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25.4%</w:t>
            </w:r>
          </w:p>
        </w:tc>
        <w:tc>
          <w:tcPr>
            <w:tcW w:w="1273" w:type="dxa"/>
            <w:tcBorders>
              <w:bottom w:val="single" w:sz="4" w:space="0" w:color="auto"/>
            </w:tcBorders>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14.4%</w:t>
            </w:r>
          </w:p>
        </w:tc>
        <w:tc>
          <w:tcPr>
            <w:tcW w:w="1163" w:type="dxa"/>
            <w:tcBorders>
              <w:bottom w:val="single" w:sz="4" w:space="0" w:color="auto"/>
            </w:tcBorders>
            <w:shd w:val="clear" w:color="auto" w:fill="auto"/>
            <w:noWrap/>
            <w:vAlign w:val="bottom"/>
            <w:hideMark/>
          </w:tcPr>
          <w:p w:rsidR="00842785" w:rsidRPr="00842785" w:rsidRDefault="00842785" w:rsidP="00842785">
            <w:pPr>
              <w:widowControl/>
              <w:jc w:val="center"/>
              <w:rPr>
                <w:rFonts w:ascii="Arial" w:hAnsi="Arial" w:cs="Arial"/>
                <w:snapToGrid/>
                <w:sz w:val="20"/>
              </w:rPr>
            </w:pPr>
            <w:r w:rsidRPr="00842785">
              <w:rPr>
                <w:rFonts w:ascii="Arial" w:hAnsi="Arial" w:cs="Arial"/>
                <w:snapToGrid/>
                <w:sz w:val="20"/>
              </w:rPr>
              <w:t>24.9%</w:t>
            </w:r>
          </w:p>
        </w:tc>
      </w:tr>
    </w:tbl>
    <w:p w:rsidR="00BE1176" w:rsidRPr="00332DAF" w:rsidRDefault="00BE1176" w:rsidP="00033809">
      <w:pPr>
        <w:pStyle w:val="BodyofReport"/>
        <w:spacing w:line="240" w:lineRule="auto"/>
        <w:ind w:firstLine="0"/>
        <w:rPr>
          <w:highlight w:val="yellow"/>
        </w:rPr>
      </w:pPr>
    </w:p>
    <w:p w:rsidR="00E51DFD" w:rsidRPr="00842785" w:rsidRDefault="00E51DFD">
      <w:pPr>
        <w:pStyle w:val="Heading1"/>
        <w:spacing w:line="480" w:lineRule="auto"/>
        <w:rPr>
          <w:rFonts w:ascii="Times New Roman" w:hAnsi="Times New Roman"/>
          <w:sz w:val="24"/>
        </w:rPr>
      </w:pPr>
      <w:r w:rsidRPr="00842785">
        <w:rPr>
          <w:rFonts w:ascii="Times New Roman" w:hAnsi="Times New Roman"/>
          <w:sz w:val="24"/>
        </w:rPr>
        <w:lastRenderedPageBreak/>
        <w:t>Effects of Sample Design on Statistical Inference</w:t>
      </w:r>
    </w:p>
    <w:p w:rsidR="00E51DFD" w:rsidRPr="00842785" w:rsidRDefault="00E51DFD">
      <w:pPr>
        <w:pStyle w:val="BodyofReport"/>
      </w:pPr>
      <w:r w:rsidRPr="00842785">
        <w:t xml:space="preserve">Post-data collection statistical adjustments require analysis procedures that reflect departures from simple random sampling. PSRAI calculates the effects of these design features so that an appropriate adjustment can be incorporated into tests of statistical significance when using these data. The so-called "design effect" or </w:t>
      </w:r>
      <w:r w:rsidRPr="00842785">
        <w:rPr>
          <w:i/>
        </w:rPr>
        <w:t>deff</w:t>
      </w:r>
      <w:r w:rsidRPr="00842785">
        <w:t xml:space="preserve"> represents the loss in statistical efficiency that results from a disproportionate sample design and systematic non-response. The total sample design effect for this survey is </w:t>
      </w:r>
      <w:r w:rsidR="00A4484C" w:rsidRPr="00842785">
        <w:t>1.</w:t>
      </w:r>
      <w:r w:rsidR="00BD1C84" w:rsidRPr="00842785">
        <w:t>3</w:t>
      </w:r>
      <w:r w:rsidR="00842785" w:rsidRPr="00842785">
        <w:t>2</w:t>
      </w:r>
      <w:r w:rsidRPr="00842785">
        <w:t>.</w:t>
      </w:r>
    </w:p>
    <w:p w:rsidR="00E51DFD" w:rsidRPr="00842785" w:rsidRDefault="00E51DFD">
      <w:pPr>
        <w:pStyle w:val="BodyofReport"/>
      </w:pPr>
      <w:r w:rsidRPr="00842785">
        <w:t xml:space="preserve">PSRAI calculates the composite design effect for a sample of size </w:t>
      </w:r>
      <w:r w:rsidRPr="00842785">
        <w:rPr>
          <w:i/>
        </w:rPr>
        <w:t>n</w:t>
      </w:r>
      <w:r w:rsidRPr="00842785">
        <w:t xml:space="preserve">, with each case having a weight, </w:t>
      </w:r>
      <w:proofErr w:type="gramStart"/>
      <w:r w:rsidRPr="00842785">
        <w:rPr>
          <w:i/>
        </w:rPr>
        <w:t>w</w:t>
      </w:r>
      <w:r w:rsidRPr="00842785">
        <w:rPr>
          <w:i/>
          <w:vertAlign w:val="subscript"/>
        </w:rPr>
        <w:t>i</w:t>
      </w:r>
      <w:proofErr w:type="gramEnd"/>
      <w:r w:rsidRPr="00842785">
        <w:t xml:space="preserve"> as:</w:t>
      </w:r>
    </w:p>
    <w:p w:rsidR="00E51DFD" w:rsidRPr="00332DAF" w:rsidRDefault="00556B8F">
      <w:pPr>
        <w:jc w:val="center"/>
        <w:rPr>
          <w:highlight w:val="yellow"/>
        </w:rPr>
      </w:pPr>
      <w:r w:rsidRPr="00332DAF">
        <w:rPr>
          <w:noProof/>
          <w:sz w:val="20"/>
          <w:highlight w:val="yellow"/>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187.9pt;margin-top:.1pt;width:91.8pt;height:70.7pt;z-index:251656192" fillcolor="window">
            <v:imagedata r:id="rId8" o:title=""/>
            <w10:wrap type="square"/>
          </v:shape>
          <o:OLEObject Type="Embed" ProgID="Equation.3" ShapeID="_x0000_s1030" DrawAspect="Content" ObjectID="_1342866241" r:id="rId9"/>
        </w:pict>
      </w:r>
    </w:p>
    <w:p w:rsidR="00E51DFD" w:rsidRPr="00332DAF" w:rsidRDefault="00556B8F">
      <w:pPr>
        <w:pStyle w:val="BodyofReport"/>
        <w:rPr>
          <w:highlight w:val="yellow"/>
        </w:rPr>
      </w:pPr>
      <w:r w:rsidRPr="00332DAF">
        <w:rPr>
          <w:noProof/>
          <w:sz w:val="20"/>
          <w:highlight w:val="yellow"/>
        </w:rPr>
        <w:pict>
          <v:shapetype id="_x0000_t202" coordsize="21600,21600" o:spt="202" path="m,l,21600r21600,l21600,xe">
            <v:stroke joinstyle="miter"/>
            <v:path gradientshapeok="t" o:connecttype="rect"/>
          </v:shapetype>
          <v:shape id="_x0000_s1031" type="#_x0000_t202" style="position:absolute;left:0;text-align:left;margin-left:361.3pt;margin-top:8.95pt;width:75.95pt;height:26.4pt;z-index:251657216" stroked="f">
            <v:textbox>
              <w:txbxContent>
                <w:p w:rsidR="00214578" w:rsidRDefault="00214578">
                  <w:pPr>
                    <w:rPr>
                      <w:i/>
                      <w:iCs/>
                    </w:rPr>
                  </w:pPr>
                  <w:proofErr w:type="gramStart"/>
                  <w:r>
                    <w:rPr>
                      <w:i/>
                      <w:iCs/>
                    </w:rPr>
                    <w:t>formula</w:t>
                  </w:r>
                  <w:proofErr w:type="gramEnd"/>
                  <w:r>
                    <w:rPr>
                      <w:i/>
                      <w:iCs/>
                    </w:rPr>
                    <w:t xml:space="preserve"> 1</w:t>
                  </w:r>
                </w:p>
              </w:txbxContent>
            </v:textbox>
            <w10:wrap type="topAndBottom"/>
          </v:shape>
        </w:pict>
      </w:r>
    </w:p>
    <w:p w:rsidR="00E51DFD" w:rsidRPr="00332DAF" w:rsidRDefault="00E51DFD">
      <w:pPr>
        <w:pStyle w:val="BodyofReport"/>
        <w:rPr>
          <w:highlight w:val="yellow"/>
        </w:rPr>
      </w:pPr>
    </w:p>
    <w:p w:rsidR="00E51DFD" w:rsidRPr="00332DAF" w:rsidRDefault="00E51DFD">
      <w:pPr>
        <w:pStyle w:val="BodyofReport"/>
        <w:rPr>
          <w:highlight w:val="yellow"/>
        </w:rPr>
      </w:pPr>
    </w:p>
    <w:p w:rsidR="00E51DFD" w:rsidRPr="00332DAF" w:rsidRDefault="00E51DFD">
      <w:pPr>
        <w:pStyle w:val="BodyofReport"/>
        <w:rPr>
          <w:highlight w:val="yellow"/>
        </w:rPr>
      </w:pPr>
    </w:p>
    <w:p w:rsidR="00E51DFD" w:rsidRPr="00842785" w:rsidRDefault="00E51DFD">
      <w:pPr>
        <w:pStyle w:val="BodyofReport"/>
        <w:keepNext/>
        <w:widowControl w:val="0"/>
      </w:pPr>
      <w:r w:rsidRPr="00842785">
        <w:t xml:space="preserve">In a wide range of situations, the adjusted </w:t>
      </w:r>
      <w:r w:rsidRPr="00842785">
        <w:rPr>
          <w:i/>
          <w:iCs/>
        </w:rPr>
        <w:t>standard error</w:t>
      </w:r>
      <w:r w:rsidRPr="00842785">
        <w:t xml:space="preserve"> of a statistic should be calculated by multiplying the usual formula by the square root of the design effect (√</w:t>
      </w:r>
      <w:proofErr w:type="gramStart"/>
      <w:r w:rsidRPr="00842785">
        <w:rPr>
          <w:i/>
          <w:iCs/>
        </w:rPr>
        <w:t xml:space="preserve">deff </w:t>
      </w:r>
      <w:r w:rsidRPr="00842785">
        <w:t>)</w:t>
      </w:r>
      <w:proofErr w:type="gramEnd"/>
      <w:r w:rsidRPr="00842785">
        <w:t>. Thus, the formula for computing the 95% confidence interval around a percentage is:</w:t>
      </w:r>
    </w:p>
    <w:p w:rsidR="00E51DFD" w:rsidRPr="00332DAF" w:rsidRDefault="00556B8F">
      <w:pPr>
        <w:keepNext/>
        <w:rPr>
          <w:highlight w:val="yellow"/>
        </w:rPr>
      </w:pPr>
      <w:r w:rsidRPr="00332DAF">
        <w:rPr>
          <w:noProof/>
          <w:sz w:val="20"/>
          <w:highlight w:val="yellow"/>
        </w:rPr>
        <w:pict>
          <v:shape id="_x0000_s1032" type="#_x0000_t75" style="position:absolute;margin-left:156.7pt;margin-top:13.85pt;width:149.3pt;height:40.3pt;z-index:251658240" fillcolor="window">
            <v:imagedata r:id="rId10" o:title=""/>
            <w10:wrap type="square"/>
          </v:shape>
          <o:OLEObject Type="Embed" ProgID="Equation.3" ShapeID="_x0000_s1032" DrawAspect="Content" ObjectID="_1342866242" r:id="rId11"/>
        </w:pict>
      </w:r>
    </w:p>
    <w:p w:rsidR="00E51DFD" w:rsidRPr="00332DAF" w:rsidRDefault="00556B8F">
      <w:pPr>
        <w:keepNext/>
        <w:ind w:firstLine="720"/>
        <w:jc w:val="center"/>
        <w:rPr>
          <w:highlight w:val="yellow"/>
        </w:rPr>
      </w:pPr>
      <w:r w:rsidRPr="00332DAF">
        <w:rPr>
          <w:noProof/>
          <w:sz w:val="20"/>
          <w:highlight w:val="yellow"/>
        </w:rPr>
        <w:pict>
          <v:shape id="_x0000_s1033" type="#_x0000_t202" style="position:absolute;left:0;text-align:left;margin-left:361.45pt;margin-top:4.3pt;width:76pt;height:26.4pt;z-index:251659264" stroked="f">
            <v:textbox>
              <w:txbxContent>
                <w:p w:rsidR="00214578" w:rsidRDefault="00214578">
                  <w:pPr>
                    <w:rPr>
                      <w:i/>
                      <w:iCs/>
                    </w:rPr>
                  </w:pPr>
                  <w:proofErr w:type="gramStart"/>
                  <w:r>
                    <w:rPr>
                      <w:i/>
                      <w:iCs/>
                    </w:rPr>
                    <w:t>formula</w:t>
                  </w:r>
                  <w:proofErr w:type="gramEnd"/>
                  <w:r>
                    <w:rPr>
                      <w:i/>
                      <w:iCs/>
                    </w:rPr>
                    <w:t xml:space="preserve"> 2</w:t>
                  </w:r>
                </w:p>
              </w:txbxContent>
            </v:textbox>
            <w10:wrap type="topAndBottom"/>
          </v:shape>
        </w:pict>
      </w:r>
    </w:p>
    <w:p w:rsidR="00E51DFD" w:rsidRPr="00332DAF" w:rsidRDefault="00E51DFD">
      <w:pPr>
        <w:pStyle w:val="BodyofReport"/>
        <w:ind w:firstLine="0"/>
        <w:rPr>
          <w:highlight w:val="yellow"/>
        </w:rPr>
      </w:pPr>
    </w:p>
    <w:p w:rsidR="00E51DFD" w:rsidRPr="00332DAF" w:rsidRDefault="00E51DFD">
      <w:pPr>
        <w:pStyle w:val="BodyofReport"/>
        <w:ind w:firstLine="0"/>
        <w:rPr>
          <w:highlight w:val="yellow"/>
        </w:rPr>
      </w:pPr>
    </w:p>
    <w:p w:rsidR="00E51DFD" w:rsidRPr="00842785" w:rsidRDefault="00E51DFD">
      <w:pPr>
        <w:pStyle w:val="BodyofReport"/>
        <w:ind w:firstLine="0"/>
      </w:pPr>
      <w:proofErr w:type="gramStart"/>
      <w:r w:rsidRPr="00842785">
        <w:t>where</w:t>
      </w:r>
      <w:proofErr w:type="gramEnd"/>
      <w:r w:rsidRPr="00842785">
        <w:t xml:space="preserve"> </w:t>
      </w:r>
      <w:r w:rsidRPr="00842785">
        <w:rPr>
          <w:position w:val="-10"/>
        </w:rPr>
        <w:object w:dxaOrig="240" w:dyaOrig="320">
          <v:shape id="_x0000_i1030" type="#_x0000_t75" style="width:12pt;height:15.75pt" o:ole="" fillcolor="window">
            <v:imagedata r:id="rId12" o:title=""/>
          </v:shape>
          <o:OLEObject Type="Embed" ProgID="Equation.3" ShapeID="_x0000_i1030" DrawAspect="Content" ObjectID="_1342866240" r:id="rId13"/>
        </w:object>
      </w:r>
      <w:r w:rsidRPr="00842785">
        <w:t xml:space="preserve"> is the sample estimate and </w:t>
      </w:r>
      <w:r w:rsidRPr="00842785">
        <w:rPr>
          <w:i/>
        </w:rPr>
        <w:t>n</w:t>
      </w:r>
      <w:r w:rsidRPr="00842785">
        <w:t xml:space="preserve"> is the unweighted number of sample cases in the group being considered.</w:t>
      </w:r>
    </w:p>
    <w:p w:rsidR="00DA521E" w:rsidRPr="00842785" w:rsidRDefault="00E51DFD">
      <w:pPr>
        <w:pStyle w:val="BodyofReport"/>
        <w:ind w:firstLine="0"/>
      </w:pPr>
      <w:r w:rsidRPr="00842785">
        <w:tab/>
        <w:t xml:space="preserve">The survey’s </w:t>
      </w:r>
      <w:r w:rsidRPr="00842785">
        <w:rPr>
          <w:i/>
          <w:iCs/>
        </w:rPr>
        <w:t>margin of error</w:t>
      </w:r>
      <w:r w:rsidRPr="00842785">
        <w:t xml:space="preserve"> is the largest 95% confidence interval for any estimated proportion based on the total sample— the one around 50%. For example, the margin of error for the entire sample is ±</w:t>
      </w:r>
      <w:r w:rsidR="00BD1C84" w:rsidRPr="00842785">
        <w:t>2</w:t>
      </w:r>
      <w:r w:rsidR="00842785" w:rsidRPr="00842785">
        <w:t>.1</w:t>
      </w:r>
      <w:r w:rsidR="00BE1176" w:rsidRPr="00842785">
        <w:t xml:space="preserve"> percentage points</w:t>
      </w:r>
      <w:r w:rsidRPr="00842785">
        <w:t xml:space="preserve">. This means that in 95 out every 100 samples drawn using the same methodology, estimated proportions based on the entire sample will be no more than </w:t>
      </w:r>
      <w:r w:rsidR="00842785" w:rsidRPr="00842785">
        <w:t>2.1</w:t>
      </w:r>
      <w:r w:rsidRPr="00842785">
        <w:t xml:space="preserve"> percentage points away from their true values in the population. </w:t>
      </w:r>
      <w:r w:rsidR="00A4484C" w:rsidRPr="00842785">
        <w:t>The margin of error for results based on form 1 or form 2 respondents is ±</w:t>
      </w:r>
      <w:r w:rsidR="00842785" w:rsidRPr="00842785">
        <w:t>2.9</w:t>
      </w:r>
      <w:r w:rsidR="00A4484C" w:rsidRPr="00842785">
        <w:t xml:space="preserve"> percentage points. </w:t>
      </w:r>
      <w:r w:rsidRPr="00842785">
        <w:t>It is important to remember that sampling fluctuations are only one possible source of error in a survey estimate. Other sources, such as respondent selection bias, questionnaire wording and reporting inaccuracy, may contribute additional error of greater or lesser magnitude.</w:t>
      </w:r>
    </w:p>
    <w:p w:rsidR="00910210" w:rsidRPr="00332DAF" w:rsidRDefault="00910210">
      <w:pPr>
        <w:pStyle w:val="BodyofReport"/>
        <w:ind w:firstLine="0"/>
        <w:rPr>
          <w:highlight w:val="yellow"/>
        </w:rPr>
      </w:pPr>
    </w:p>
    <w:p w:rsidR="00E51DFD" w:rsidRPr="00391040" w:rsidRDefault="00E51DFD">
      <w:pPr>
        <w:pStyle w:val="Heading1"/>
        <w:rPr>
          <w:rFonts w:ascii="Times New Roman" w:hAnsi="Times New Roman"/>
          <w:caps/>
          <w:sz w:val="24"/>
        </w:rPr>
      </w:pPr>
      <w:r w:rsidRPr="00391040">
        <w:rPr>
          <w:rFonts w:ascii="Times New Roman" w:hAnsi="Times New Roman"/>
          <w:caps/>
          <w:sz w:val="24"/>
        </w:rPr>
        <w:lastRenderedPageBreak/>
        <w:t>Response Rate</w:t>
      </w:r>
    </w:p>
    <w:p w:rsidR="00E51DFD" w:rsidRPr="00391040" w:rsidRDefault="00E51DFD"/>
    <w:p w:rsidR="00BE1176" w:rsidRPr="00391040" w:rsidRDefault="00EF4E13" w:rsidP="00391040">
      <w:pPr>
        <w:pStyle w:val="BodyofReport"/>
      </w:pPr>
      <w:r w:rsidRPr="00391040">
        <w:t xml:space="preserve">Table </w:t>
      </w:r>
      <w:r w:rsidR="00BE1176" w:rsidRPr="00391040">
        <w:t>2</w:t>
      </w:r>
      <w:r w:rsidR="001F3A26" w:rsidRPr="00391040">
        <w:t xml:space="preserve"> report</w:t>
      </w:r>
      <w:r w:rsidR="00E51DFD" w:rsidRPr="00391040">
        <w:t xml:space="preserve"> the disposition of all sampled telephone numbers ever dialed from the original telephone number sample</w:t>
      </w:r>
      <w:r w:rsidR="001F3A26" w:rsidRPr="00391040">
        <w:t>s</w:t>
      </w:r>
      <w:r w:rsidR="00E51DFD" w:rsidRPr="00391040">
        <w:t xml:space="preserve">. </w:t>
      </w:r>
      <w:r w:rsidR="00391040" w:rsidRPr="00391040">
        <w:t xml:space="preserve">Response rates are computed according to AAPOR definition 3. </w:t>
      </w:r>
      <w:r w:rsidR="00BE1176" w:rsidRPr="00391040">
        <w:t xml:space="preserve">Thus the response rate for the land line samples was </w:t>
      </w:r>
      <w:r w:rsidR="00391040" w:rsidRPr="00391040">
        <w:t>15</w:t>
      </w:r>
      <w:r w:rsidR="001527D9" w:rsidRPr="00391040">
        <w:t xml:space="preserve"> </w:t>
      </w:r>
      <w:r w:rsidR="00BE1176" w:rsidRPr="00391040">
        <w:t>percent. The response rate f</w:t>
      </w:r>
      <w:r w:rsidR="008E1768" w:rsidRPr="00391040">
        <w:t xml:space="preserve">or the cellular samples was </w:t>
      </w:r>
      <w:r w:rsidR="00391040" w:rsidRPr="00391040">
        <w:t>12</w:t>
      </w:r>
      <w:r w:rsidR="00BE1176" w:rsidRPr="00391040">
        <w:t xml:space="preserve"> percent.</w:t>
      </w:r>
    </w:p>
    <w:p w:rsidR="00BE1176" w:rsidRDefault="00BE1176" w:rsidP="00BE1176">
      <w:pPr>
        <w:pStyle w:val="BodyofReport"/>
        <w:spacing w:line="360" w:lineRule="auto"/>
        <w:rPr>
          <w:highlight w:val="yellow"/>
        </w:rPr>
      </w:pPr>
    </w:p>
    <w:tbl>
      <w:tblPr>
        <w:tblW w:w="7561" w:type="dxa"/>
        <w:jc w:val="center"/>
        <w:tblLook w:val="04A0"/>
      </w:tblPr>
      <w:tblGrid>
        <w:gridCol w:w="973"/>
        <w:gridCol w:w="784"/>
        <w:gridCol w:w="5861"/>
      </w:tblGrid>
      <w:tr w:rsidR="00391040" w:rsidRPr="00391040" w:rsidTr="00391040">
        <w:trPr>
          <w:trHeight w:val="255"/>
          <w:jc w:val="center"/>
        </w:trPr>
        <w:tc>
          <w:tcPr>
            <w:tcW w:w="7561" w:type="dxa"/>
            <w:gridSpan w:val="3"/>
            <w:tcBorders>
              <w:top w:val="nil"/>
              <w:left w:val="nil"/>
              <w:bottom w:val="single" w:sz="4" w:space="0" w:color="auto"/>
              <w:right w:val="nil"/>
            </w:tcBorders>
            <w:shd w:val="clear" w:color="auto" w:fill="auto"/>
            <w:noWrap/>
            <w:vAlign w:val="bottom"/>
            <w:hideMark/>
          </w:tcPr>
          <w:p w:rsidR="00391040" w:rsidRPr="00391040" w:rsidRDefault="00391040" w:rsidP="00391040">
            <w:pPr>
              <w:widowControl/>
              <w:rPr>
                <w:rFonts w:ascii="Arial" w:hAnsi="Arial" w:cs="Arial"/>
                <w:b/>
                <w:bCs/>
                <w:snapToGrid/>
                <w:sz w:val="20"/>
              </w:rPr>
            </w:pPr>
            <w:r w:rsidRPr="00391040">
              <w:rPr>
                <w:rFonts w:ascii="Arial" w:hAnsi="Arial" w:cs="Arial"/>
                <w:b/>
                <w:bCs/>
                <w:snapToGrid/>
                <w:sz w:val="20"/>
              </w:rPr>
              <w:t>Table 2: Sample Disposition</w:t>
            </w:r>
          </w:p>
        </w:tc>
      </w:tr>
      <w:tr w:rsidR="00391040" w:rsidRPr="00391040" w:rsidTr="00391040">
        <w:trPr>
          <w:trHeight w:val="255"/>
          <w:jc w:val="center"/>
        </w:trPr>
        <w:tc>
          <w:tcPr>
            <w:tcW w:w="966" w:type="dxa"/>
            <w:tcBorders>
              <w:top w:val="nil"/>
              <w:left w:val="nil"/>
              <w:bottom w:val="nil"/>
              <w:right w:val="nil"/>
            </w:tcBorders>
            <w:shd w:val="clear" w:color="auto" w:fill="auto"/>
            <w:noWrap/>
            <w:vAlign w:val="bottom"/>
            <w:hideMark/>
          </w:tcPr>
          <w:p w:rsidR="00391040" w:rsidRPr="00391040" w:rsidRDefault="00391040" w:rsidP="00391040">
            <w:pPr>
              <w:widowControl/>
              <w:jc w:val="right"/>
              <w:rPr>
                <w:rFonts w:ascii="Arial" w:hAnsi="Arial" w:cs="Arial"/>
                <w:snapToGrid/>
                <w:sz w:val="20"/>
                <w:u w:val="single"/>
              </w:rPr>
            </w:pPr>
            <w:r w:rsidRPr="00391040">
              <w:rPr>
                <w:rFonts w:ascii="Arial" w:hAnsi="Arial" w:cs="Arial"/>
                <w:snapToGrid/>
                <w:sz w:val="20"/>
                <w:u w:val="single"/>
              </w:rPr>
              <w:t>Landline</w:t>
            </w:r>
          </w:p>
        </w:tc>
        <w:tc>
          <w:tcPr>
            <w:tcW w:w="734" w:type="dxa"/>
            <w:tcBorders>
              <w:top w:val="nil"/>
              <w:left w:val="nil"/>
              <w:bottom w:val="nil"/>
              <w:right w:val="nil"/>
            </w:tcBorders>
            <w:shd w:val="clear" w:color="auto" w:fill="auto"/>
            <w:noWrap/>
            <w:vAlign w:val="bottom"/>
            <w:hideMark/>
          </w:tcPr>
          <w:p w:rsidR="00391040" w:rsidRPr="00391040" w:rsidRDefault="00391040" w:rsidP="00391040">
            <w:pPr>
              <w:widowControl/>
              <w:jc w:val="right"/>
              <w:rPr>
                <w:rFonts w:ascii="Arial" w:hAnsi="Arial" w:cs="Arial"/>
                <w:snapToGrid/>
                <w:sz w:val="20"/>
                <w:u w:val="single"/>
              </w:rPr>
            </w:pPr>
            <w:r w:rsidRPr="00391040">
              <w:rPr>
                <w:rFonts w:ascii="Arial" w:hAnsi="Arial" w:cs="Arial"/>
                <w:snapToGrid/>
                <w:sz w:val="20"/>
                <w:u w:val="single"/>
              </w:rPr>
              <w:t>Cell</w:t>
            </w:r>
          </w:p>
        </w:tc>
        <w:tc>
          <w:tcPr>
            <w:tcW w:w="5861" w:type="dxa"/>
            <w:tcBorders>
              <w:top w:val="nil"/>
              <w:left w:val="nil"/>
              <w:bottom w:val="nil"/>
              <w:right w:val="nil"/>
            </w:tcBorders>
            <w:shd w:val="clear" w:color="auto" w:fill="auto"/>
            <w:noWrap/>
            <w:vAlign w:val="bottom"/>
            <w:hideMark/>
          </w:tcPr>
          <w:p w:rsidR="00391040" w:rsidRPr="00391040" w:rsidRDefault="00391040" w:rsidP="00391040">
            <w:pPr>
              <w:widowControl/>
              <w:rPr>
                <w:rFonts w:ascii="Arial" w:hAnsi="Arial" w:cs="Arial"/>
                <w:snapToGrid/>
                <w:sz w:val="20"/>
              </w:rPr>
            </w:pPr>
          </w:p>
        </w:tc>
      </w:tr>
      <w:tr w:rsidR="00391040" w:rsidRPr="00391040" w:rsidTr="00391040">
        <w:trPr>
          <w:trHeight w:val="255"/>
          <w:jc w:val="center"/>
        </w:trPr>
        <w:tc>
          <w:tcPr>
            <w:tcW w:w="966" w:type="dxa"/>
            <w:tcBorders>
              <w:top w:val="nil"/>
              <w:left w:val="nil"/>
              <w:bottom w:val="nil"/>
              <w:right w:val="nil"/>
            </w:tcBorders>
            <w:shd w:val="clear" w:color="auto" w:fill="auto"/>
            <w:noWrap/>
            <w:vAlign w:val="bottom"/>
            <w:hideMark/>
          </w:tcPr>
          <w:p w:rsidR="00391040" w:rsidRPr="00391040" w:rsidRDefault="00391040" w:rsidP="00391040">
            <w:pPr>
              <w:widowControl/>
              <w:jc w:val="right"/>
              <w:rPr>
                <w:rFonts w:ascii="Arial" w:hAnsi="Arial" w:cs="Arial"/>
                <w:snapToGrid/>
                <w:sz w:val="20"/>
              </w:rPr>
            </w:pPr>
            <w:r w:rsidRPr="00391040">
              <w:rPr>
                <w:rFonts w:ascii="Arial" w:hAnsi="Arial" w:cs="Arial"/>
                <w:snapToGrid/>
                <w:sz w:val="20"/>
              </w:rPr>
              <w:t>2002</w:t>
            </w:r>
          </w:p>
        </w:tc>
        <w:tc>
          <w:tcPr>
            <w:tcW w:w="734" w:type="dxa"/>
            <w:tcBorders>
              <w:top w:val="nil"/>
              <w:left w:val="nil"/>
              <w:bottom w:val="nil"/>
              <w:right w:val="nil"/>
            </w:tcBorders>
            <w:shd w:val="clear" w:color="auto" w:fill="auto"/>
            <w:noWrap/>
            <w:vAlign w:val="bottom"/>
            <w:hideMark/>
          </w:tcPr>
          <w:p w:rsidR="00391040" w:rsidRPr="00391040" w:rsidRDefault="00391040" w:rsidP="00391040">
            <w:pPr>
              <w:widowControl/>
              <w:jc w:val="right"/>
              <w:rPr>
                <w:rFonts w:ascii="Arial" w:hAnsi="Arial" w:cs="Arial"/>
                <w:snapToGrid/>
                <w:sz w:val="20"/>
              </w:rPr>
            </w:pPr>
            <w:r w:rsidRPr="00391040">
              <w:rPr>
                <w:rFonts w:ascii="Arial" w:hAnsi="Arial" w:cs="Arial"/>
                <w:snapToGrid/>
                <w:sz w:val="20"/>
              </w:rPr>
              <w:t>1001</w:t>
            </w:r>
          </w:p>
        </w:tc>
        <w:tc>
          <w:tcPr>
            <w:tcW w:w="5861" w:type="dxa"/>
            <w:tcBorders>
              <w:top w:val="nil"/>
              <w:left w:val="nil"/>
              <w:bottom w:val="nil"/>
              <w:right w:val="nil"/>
            </w:tcBorders>
            <w:shd w:val="clear" w:color="auto" w:fill="auto"/>
            <w:noWrap/>
            <w:vAlign w:val="bottom"/>
            <w:hideMark/>
          </w:tcPr>
          <w:p w:rsidR="00391040" w:rsidRPr="00391040" w:rsidRDefault="00391040" w:rsidP="00391040">
            <w:pPr>
              <w:widowControl/>
              <w:rPr>
                <w:rFonts w:ascii="Arial" w:hAnsi="Arial" w:cs="Arial"/>
                <w:snapToGrid/>
                <w:sz w:val="20"/>
              </w:rPr>
            </w:pPr>
            <w:r w:rsidRPr="00391040">
              <w:rPr>
                <w:rFonts w:ascii="Arial" w:hAnsi="Arial" w:cs="Arial"/>
                <w:snapToGrid/>
                <w:sz w:val="20"/>
              </w:rPr>
              <w:t>I=Complete</w:t>
            </w:r>
          </w:p>
        </w:tc>
      </w:tr>
      <w:tr w:rsidR="00391040" w:rsidRPr="00391040" w:rsidTr="00391040">
        <w:trPr>
          <w:trHeight w:val="255"/>
          <w:jc w:val="center"/>
        </w:trPr>
        <w:tc>
          <w:tcPr>
            <w:tcW w:w="966" w:type="dxa"/>
            <w:tcBorders>
              <w:top w:val="nil"/>
              <w:left w:val="nil"/>
              <w:bottom w:val="nil"/>
              <w:right w:val="nil"/>
            </w:tcBorders>
            <w:shd w:val="clear" w:color="auto" w:fill="auto"/>
            <w:noWrap/>
            <w:vAlign w:val="bottom"/>
            <w:hideMark/>
          </w:tcPr>
          <w:p w:rsidR="00391040" w:rsidRPr="00391040" w:rsidRDefault="00391040" w:rsidP="00391040">
            <w:pPr>
              <w:widowControl/>
              <w:jc w:val="right"/>
              <w:rPr>
                <w:rFonts w:ascii="Arial" w:hAnsi="Arial" w:cs="Arial"/>
                <w:snapToGrid/>
                <w:sz w:val="20"/>
              </w:rPr>
            </w:pPr>
            <w:r w:rsidRPr="00391040">
              <w:rPr>
                <w:rFonts w:ascii="Arial" w:hAnsi="Arial" w:cs="Arial"/>
                <w:snapToGrid/>
                <w:sz w:val="20"/>
              </w:rPr>
              <w:t>6974</w:t>
            </w:r>
          </w:p>
        </w:tc>
        <w:tc>
          <w:tcPr>
            <w:tcW w:w="734" w:type="dxa"/>
            <w:tcBorders>
              <w:top w:val="nil"/>
              <w:left w:val="nil"/>
              <w:bottom w:val="nil"/>
              <w:right w:val="nil"/>
            </w:tcBorders>
            <w:shd w:val="clear" w:color="auto" w:fill="auto"/>
            <w:noWrap/>
            <w:vAlign w:val="bottom"/>
            <w:hideMark/>
          </w:tcPr>
          <w:p w:rsidR="00391040" w:rsidRPr="00391040" w:rsidRDefault="00391040" w:rsidP="00391040">
            <w:pPr>
              <w:widowControl/>
              <w:jc w:val="right"/>
              <w:rPr>
                <w:rFonts w:ascii="Arial" w:hAnsi="Arial" w:cs="Arial"/>
                <w:snapToGrid/>
                <w:sz w:val="20"/>
              </w:rPr>
            </w:pPr>
            <w:r w:rsidRPr="00391040">
              <w:rPr>
                <w:rFonts w:ascii="Arial" w:hAnsi="Arial" w:cs="Arial"/>
                <w:snapToGrid/>
                <w:sz w:val="20"/>
              </w:rPr>
              <w:t>4924</w:t>
            </w:r>
          </w:p>
        </w:tc>
        <w:tc>
          <w:tcPr>
            <w:tcW w:w="5861" w:type="dxa"/>
            <w:tcBorders>
              <w:top w:val="nil"/>
              <w:left w:val="nil"/>
              <w:bottom w:val="nil"/>
              <w:right w:val="nil"/>
            </w:tcBorders>
            <w:shd w:val="clear" w:color="auto" w:fill="auto"/>
            <w:noWrap/>
            <w:vAlign w:val="bottom"/>
            <w:hideMark/>
          </w:tcPr>
          <w:p w:rsidR="00391040" w:rsidRPr="00391040" w:rsidRDefault="00391040" w:rsidP="00391040">
            <w:pPr>
              <w:widowControl/>
              <w:rPr>
                <w:rFonts w:ascii="Arial" w:hAnsi="Arial" w:cs="Arial"/>
                <w:snapToGrid/>
                <w:sz w:val="20"/>
              </w:rPr>
            </w:pPr>
            <w:r w:rsidRPr="00391040">
              <w:rPr>
                <w:rFonts w:ascii="Arial" w:hAnsi="Arial" w:cs="Arial"/>
                <w:snapToGrid/>
                <w:sz w:val="20"/>
              </w:rPr>
              <w:t>R=Refusal and break</w:t>
            </w:r>
            <w:r>
              <w:rPr>
                <w:rFonts w:ascii="Arial" w:hAnsi="Arial" w:cs="Arial"/>
                <w:snapToGrid/>
                <w:sz w:val="20"/>
              </w:rPr>
              <w:t xml:space="preserve"> </w:t>
            </w:r>
            <w:r w:rsidRPr="00391040">
              <w:rPr>
                <w:rFonts w:ascii="Arial" w:hAnsi="Arial" w:cs="Arial"/>
                <w:snapToGrid/>
                <w:sz w:val="20"/>
              </w:rPr>
              <w:t>off</w:t>
            </w:r>
          </w:p>
        </w:tc>
      </w:tr>
      <w:tr w:rsidR="00391040" w:rsidRPr="00391040" w:rsidTr="00391040">
        <w:trPr>
          <w:trHeight w:val="255"/>
          <w:jc w:val="center"/>
        </w:trPr>
        <w:tc>
          <w:tcPr>
            <w:tcW w:w="966" w:type="dxa"/>
            <w:tcBorders>
              <w:top w:val="nil"/>
              <w:left w:val="nil"/>
              <w:bottom w:val="nil"/>
              <w:right w:val="nil"/>
            </w:tcBorders>
            <w:shd w:val="clear" w:color="auto" w:fill="auto"/>
            <w:noWrap/>
            <w:vAlign w:val="bottom"/>
            <w:hideMark/>
          </w:tcPr>
          <w:p w:rsidR="00391040" w:rsidRPr="00391040" w:rsidRDefault="00391040" w:rsidP="00391040">
            <w:pPr>
              <w:widowControl/>
              <w:jc w:val="right"/>
              <w:rPr>
                <w:rFonts w:ascii="Arial" w:hAnsi="Arial" w:cs="Arial"/>
                <w:snapToGrid/>
                <w:sz w:val="20"/>
              </w:rPr>
            </w:pPr>
            <w:r w:rsidRPr="00391040">
              <w:rPr>
                <w:rFonts w:ascii="Arial" w:hAnsi="Arial" w:cs="Arial"/>
                <w:snapToGrid/>
                <w:sz w:val="20"/>
              </w:rPr>
              <w:t>2846</w:t>
            </w:r>
          </w:p>
        </w:tc>
        <w:tc>
          <w:tcPr>
            <w:tcW w:w="734" w:type="dxa"/>
            <w:tcBorders>
              <w:top w:val="nil"/>
              <w:left w:val="nil"/>
              <w:bottom w:val="nil"/>
              <w:right w:val="nil"/>
            </w:tcBorders>
            <w:shd w:val="clear" w:color="auto" w:fill="auto"/>
            <w:noWrap/>
            <w:vAlign w:val="bottom"/>
            <w:hideMark/>
          </w:tcPr>
          <w:p w:rsidR="00391040" w:rsidRPr="00391040" w:rsidRDefault="00391040" w:rsidP="00391040">
            <w:pPr>
              <w:widowControl/>
              <w:jc w:val="right"/>
              <w:rPr>
                <w:rFonts w:ascii="Arial" w:hAnsi="Arial" w:cs="Arial"/>
                <w:snapToGrid/>
                <w:sz w:val="20"/>
              </w:rPr>
            </w:pPr>
            <w:r w:rsidRPr="00391040">
              <w:rPr>
                <w:rFonts w:ascii="Arial" w:hAnsi="Arial" w:cs="Arial"/>
                <w:snapToGrid/>
                <w:sz w:val="20"/>
              </w:rPr>
              <w:t>1939</w:t>
            </w:r>
          </w:p>
        </w:tc>
        <w:tc>
          <w:tcPr>
            <w:tcW w:w="5861" w:type="dxa"/>
            <w:tcBorders>
              <w:top w:val="nil"/>
              <w:left w:val="nil"/>
              <w:bottom w:val="nil"/>
              <w:right w:val="nil"/>
            </w:tcBorders>
            <w:shd w:val="clear" w:color="auto" w:fill="auto"/>
            <w:noWrap/>
            <w:vAlign w:val="bottom"/>
            <w:hideMark/>
          </w:tcPr>
          <w:p w:rsidR="00391040" w:rsidRPr="00391040" w:rsidRDefault="00391040" w:rsidP="00391040">
            <w:pPr>
              <w:widowControl/>
              <w:rPr>
                <w:rFonts w:ascii="Arial" w:hAnsi="Arial" w:cs="Arial"/>
                <w:snapToGrid/>
                <w:sz w:val="20"/>
              </w:rPr>
            </w:pPr>
            <w:r>
              <w:rPr>
                <w:rFonts w:ascii="Arial" w:hAnsi="Arial" w:cs="Arial"/>
                <w:snapToGrid/>
                <w:sz w:val="20"/>
              </w:rPr>
              <w:t>NC=Non-</w:t>
            </w:r>
            <w:r w:rsidRPr="00391040">
              <w:rPr>
                <w:rFonts w:ascii="Arial" w:hAnsi="Arial" w:cs="Arial"/>
                <w:snapToGrid/>
                <w:sz w:val="20"/>
              </w:rPr>
              <w:t>contact</w:t>
            </w:r>
          </w:p>
        </w:tc>
      </w:tr>
      <w:tr w:rsidR="00391040" w:rsidRPr="00391040" w:rsidTr="00391040">
        <w:trPr>
          <w:trHeight w:val="255"/>
          <w:jc w:val="center"/>
        </w:trPr>
        <w:tc>
          <w:tcPr>
            <w:tcW w:w="966" w:type="dxa"/>
            <w:tcBorders>
              <w:top w:val="nil"/>
              <w:left w:val="nil"/>
              <w:bottom w:val="nil"/>
              <w:right w:val="nil"/>
            </w:tcBorders>
            <w:shd w:val="clear" w:color="auto" w:fill="auto"/>
            <w:noWrap/>
            <w:vAlign w:val="bottom"/>
            <w:hideMark/>
          </w:tcPr>
          <w:p w:rsidR="00391040" w:rsidRPr="00391040" w:rsidRDefault="00391040" w:rsidP="00391040">
            <w:pPr>
              <w:widowControl/>
              <w:jc w:val="right"/>
              <w:rPr>
                <w:rFonts w:ascii="Arial" w:hAnsi="Arial" w:cs="Arial"/>
                <w:snapToGrid/>
                <w:sz w:val="20"/>
              </w:rPr>
            </w:pPr>
            <w:r w:rsidRPr="00391040">
              <w:rPr>
                <w:rFonts w:ascii="Arial" w:hAnsi="Arial" w:cs="Arial"/>
                <w:snapToGrid/>
                <w:sz w:val="20"/>
              </w:rPr>
              <w:t>351</w:t>
            </w:r>
          </w:p>
        </w:tc>
        <w:tc>
          <w:tcPr>
            <w:tcW w:w="734" w:type="dxa"/>
            <w:tcBorders>
              <w:top w:val="nil"/>
              <w:left w:val="nil"/>
              <w:bottom w:val="nil"/>
              <w:right w:val="nil"/>
            </w:tcBorders>
            <w:shd w:val="clear" w:color="auto" w:fill="auto"/>
            <w:noWrap/>
            <w:vAlign w:val="bottom"/>
            <w:hideMark/>
          </w:tcPr>
          <w:p w:rsidR="00391040" w:rsidRPr="00391040" w:rsidRDefault="00391040" w:rsidP="00391040">
            <w:pPr>
              <w:widowControl/>
              <w:jc w:val="right"/>
              <w:rPr>
                <w:rFonts w:ascii="Arial" w:hAnsi="Arial" w:cs="Arial"/>
                <w:snapToGrid/>
                <w:sz w:val="20"/>
              </w:rPr>
            </w:pPr>
            <w:r w:rsidRPr="00391040">
              <w:rPr>
                <w:rFonts w:ascii="Arial" w:hAnsi="Arial" w:cs="Arial"/>
                <w:snapToGrid/>
                <w:sz w:val="20"/>
              </w:rPr>
              <w:t>298</w:t>
            </w:r>
          </w:p>
        </w:tc>
        <w:tc>
          <w:tcPr>
            <w:tcW w:w="5861" w:type="dxa"/>
            <w:tcBorders>
              <w:top w:val="nil"/>
              <w:left w:val="nil"/>
              <w:bottom w:val="nil"/>
              <w:right w:val="nil"/>
            </w:tcBorders>
            <w:shd w:val="clear" w:color="auto" w:fill="auto"/>
            <w:noWrap/>
            <w:vAlign w:val="bottom"/>
            <w:hideMark/>
          </w:tcPr>
          <w:p w:rsidR="00391040" w:rsidRPr="00391040" w:rsidRDefault="00391040" w:rsidP="00391040">
            <w:pPr>
              <w:widowControl/>
              <w:rPr>
                <w:rFonts w:ascii="Arial" w:hAnsi="Arial" w:cs="Arial"/>
                <w:snapToGrid/>
                <w:sz w:val="20"/>
              </w:rPr>
            </w:pPr>
            <w:r w:rsidRPr="00391040">
              <w:rPr>
                <w:rFonts w:ascii="Arial" w:hAnsi="Arial" w:cs="Arial"/>
                <w:snapToGrid/>
                <w:sz w:val="20"/>
              </w:rPr>
              <w:t>O=Other</w:t>
            </w:r>
          </w:p>
        </w:tc>
      </w:tr>
      <w:tr w:rsidR="00391040" w:rsidRPr="00391040" w:rsidTr="00391040">
        <w:trPr>
          <w:trHeight w:val="255"/>
          <w:jc w:val="center"/>
        </w:trPr>
        <w:tc>
          <w:tcPr>
            <w:tcW w:w="966" w:type="dxa"/>
            <w:tcBorders>
              <w:top w:val="nil"/>
              <w:left w:val="nil"/>
              <w:bottom w:val="nil"/>
              <w:right w:val="nil"/>
            </w:tcBorders>
            <w:shd w:val="clear" w:color="auto" w:fill="auto"/>
            <w:noWrap/>
            <w:vAlign w:val="bottom"/>
            <w:hideMark/>
          </w:tcPr>
          <w:p w:rsidR="00391040" w:rsidRPr="00391040" w:rsidRDefault="00391040" w:rsidP="00391040">
            <w:pPr>
              <w:widowControl/>
              <w:jc w:val="right"/>
              <w:rPr>
                <w:rFonts w:ascii="Arial" w:hAnsi="Arial" w:cs="Arial"/>
                <w:snapToGrid/>
                <w:sz w:val="20"/>
              </w:rPr>
            </w:pPr>
            <w:r w:rsidRPr="00391040">
              <w:rPr>
                <w:rFonts w:ascii="Arial" w:hAnsi="Arial" w:cs="Arial"/>
                <w:snapToGrid/>
                <w:sz w:val="20"/>
              </w:rPr>
              <w:t>24997</w:t>
            </w:r>
          </w:p>
        </w:tc>
        <w:tc>
          <w:tcPr>
            <w:tcW w:w="734" w:type="dxa"/>
            <w:tcBorders>
              <w:top w:val="nil"/>
              <w:left w:val="nil"/>
              <w:bottom w:val="nil"/>
              <w:right w:val="nil"/>
            </w:tcBorders>
            <w:shd w:val="clear" w:color="auto" w:fill="auto"/>
            <w:noWrap/>
            <w:vAlign w:val="bottom"/>
            <w:hideMark/>
          </w:tcPr>
          <w:p w:rsidR="00391040" w:rsidRPr="00391040" w:rsidRDefault="00391040" w:rsidP="00391040">
            <w:pPr>
              <w:widowControl/>
              <w:jc w:val="right"/>
              <w:rPr>
                <w:rFonts w:ascii="Arial" w:hAnsi="Arial" w:cs="Arial"/>
                <w:snapToGrid/>
                <w:sz w:val="20"/>
              </w:rPr>
            </w:pPr>
            <w:r w:rsidRPr="00391040">
              <w:rPr>
                <w:rFonts w:ascii="Arial" w:hAnsi="Arial" w:cs="Arial"/>
                <w:snapToGrid/>
                <w:sz w:val="20"/>
              </w:rPr>
              <w:t>6784</w:t>
            </w:r>
          </w:p>
        </w:tc>
        <w:tc>
          <w:tcPr>
            <w:tcW w:w="5861" w:type="dxa"/>
            <w:tcBorders>
              <w:top w:val="nil"/>
              <w:left w:val="nil"/>
              <w:bottom w:val="nil"/>
              <w:right w:val="nil"/>
            </w:tcBorders>
            <w:shd w:val="clear" w:color="auto" w:fill="auto"/>
            <w:noWrap/>
            <w:vAlign w:val="bottom"/>
            <w:hideMark/>
          </w:tcPr>
          <w:p w:rsidR="00391040" w:rsidRPr="00391040" w:rsidRDefault="00391040" w:rsidP="00391040">
            <w:pPr>
              <w:widowControl/>
              <w:rPr>
                <w:rFonts w:ascii="Arial" w:hAnsi="Arial" w:cs="Arial"/>
                <w:snapToGrid/>
                <w:sz w:val="20"/>
              </w:rPr>
            </w:pPr>
            <w:r w:rsidRPr="00391040">
              <w:rPr>
                <w:rFonts w:ascii="Arial" w:hAnsi="Arial" w:cs="Arial"/>
                <w:snapToGrid/>
                <w:sz w:val="20"/>
              </w:rPr>
              <w:t>OF=Business/computer/not working/child's cell phone</w:t>
            </w:r>
          </w:p>
        </w:tc>
      </w:tr>
      <w:tr w:rsidR="00391040" w:rsidRPr="00391040" w:rsidTr="00391040">
        <w:trPr>
          <w:trHeight w:val="255"/>
          <w:jc w:val="center"/>
        </w:trPr>
        <w:tc>
          <w:tcPr>
            <w:tcW w:w="966" w:type="dxa"/>
            <w:tcBorders>
              <w:top w:val="nil"/>
              <w:left w:val="nil"/>
              <w:bottom w:val="nil"/>
              <w:right w:val="nil"/>
            </w:tcBorders>
            <w:shd w:val="clear" w:color="auto" w:fill="auto"/>
            <w:noWrap/>
            <w:vAlign w:val="bottom"/>
            <w:hideMark/>
          </w:tcPr>
          <w:p w:rsidR="00391040" w:rsidRPr="00391040" w:rsidRDefault="00391040" w:rsidP="00391040">
            <w:pPr>
              <w:widowControl/>
              <w:jc w:val="right"/>
              <w:rPr>
                <w:rFonts w:ascii="Arial" w:hAnsi="Arial" w:cs="Arial"/>
                <w:snapToGrid/>
                <w:sz w:val="20"/>
              </w:rPr>
            </w:pPr>
            <w:r w:rsidRPr="00391040">
              <w:rPr>
                <w:rFonts w:ascii="Arial" w:hAnsi="Arial" w:cs="Arial"/>
                <w:snapToGrid/>
                <w:sz w:val="20"/>
              </w:rPr>
              <w:t>4141</w:t>
            </w:r>
          </w:p>
        </w:tc>
        <w:tc>
          <w:tcPr>
            <w:tcW w:w="734" w:type="dxa"/>
            <w:tcBorders>
              <w:top w:val="nil"/>
              <w:left w:val="nil"/>
              <w:bottom w:val="nil"/>
              <w:right w:val="nil"/>
            </w:tcBorders>
            <w:shd w:val="clear" w:color="auto" w:fill="auto"/>
            <w:noWrap/>
            <w:vAlign w:val="bottom"/>
            <w:hideMark/>
          </w:tcPr>
          <w:p w:rsidR="00391040" w:rsidRPr="00391040" w:rsidRDefault="00391040" w:rsidP="00391040">
            <w:pPr>
              <w:widowControl/>
              <w:jc w:val="right"/>
              <w:rPr>
                <w:rFonts w:ascii="Arial" w:hAnsi="Arial" w:cs="Arial"/>
                <w:snapToGrid/>
                <w:sz w:val="20"/>
              </w:rPr>
            </w:pPr>
            <w:r w:rsidRPr="00391040">
              <w:rPr>
                <w:rFonts w:ascii="Arial" w:hAnsi="Arial" w:cs="Arial"/>
                <w:snapToGrid/>
                <w:sz w:val="20"/>
              </w:rPr>
              <w:t>364</w:t>
            </w:r>
          </w:p>
        </w:tc>
        <w:tc>
          <w:tcPr>
            <w:tcW w:w="5861" w:type="dxa"/>
            <w:tcBorders>
              <w:top w:val="nil"/>
              <w:left w:val="nil"/>
              <w:bottom w:val="nil"/>
              <w:right w:val="nil"/>
            </w:tcBorders>
            <w:shd w:val="clear" w:color="auto" w:fill="auto"/>
            <w:noWrap/>
            <w:vAlign w:val="bottom"/>
            <w:hideMark/>
          </w:tcPr>
          <w:p w:rsidR="00391040" w:rsidRPr="00391040" w:rsidRDefault="00391040" w:rsidP="00391040">
            <w:pPr>
              <w:widowControl/>
              <w:rPr>
                <w:rFonts w:ascii="Arial" w:hAnsi="Arial" w:cs="Arial"/>
                <w:snapToGrid/>
                <w:sz w:val="20"/>
              </w:rPr>
            </w:pPr>
            <w:r w:rsidRPr="00391040">
              <w:rPr>
                <w:rFonts w:ascii="Arial" w:hAnsi="Arial" w:cs="Arial"/>
                <w:snapToGrid/>
                <w:sz w:val="20"/>
              </w:rPr>
              <w:t>UH/UO=Unknown household/Unknown other</w:t>
            </w:r>
          </w:p>
        </w:tc>
      </w:tr>
      <w:tr w:rsidR="00391040" w:rsidRPr="00391040" w:rsidTr="00391040">
        <w:trPr>
          <w:trHeight w:val="255"/>
          <w:jc w:val="center"/>
        </w:trPr>
        <w:tc>
          <w:tcPr>
            <w:tcW w:w="966" w:type="dxa"/>
            <w:tcBorders>
              <w:top w:val="nil"/>
              <w:left w:val="nil"/>
              <w:bottom w:val="nil"/>
              <w:right w:val="nil"/>
            </w:tcBorders>
            <w:shd w:val="clear" w:color="auto" w:fill="auto"/>
            <w:noWrap/>
            <w:vAlign w:val="bottom"/>
            <w:hideMark/>
          </w:tcPr>
          <w:p w:rsidR="00391040" w:rsidRPr="00391040" w:rsidRDefault="00391040" w:rsidP="00391040">
            <w:pPr>
              <w:widowControl/>
              <w:rPr>
                <w:rFonts w:ascii="Arial" w:hAnsi="Arial" w:cs="Arial"/>
                <w:snapToGrid/>
                <w:sz w:val="20"/>
              </w:rPr>
            </w:pPr>
          </w:p>
        </w:tc>
        <w:tc>
          <w:tcPr>
            <w:tcW w:w="734" w:type="dxa"/>
            <w:tcBorders>
              <w:top w:val="nil"/>
              <w:left w:val="nil"/>
              <w:bottom w:val="nil"/>
              <w:right w:val="nil"/>
            </w:tcBorders>
            <w:shd w:val="clear" w:color="auto" w:fill="auto"/>
            <w:noWrap/>
            <w:vAlign w:val="bottom"/>
            <w:hideMark/>
          </w:tcPr>
          <w:p w:rsidR="00391040" w:rsidRPr="00391040" w:rsidRDefault="00391040" w:rsidP="00391040">
            <w:pPr>
              <w:widowControl/>
              <w:rPr>
                <w:rFonts w:ascii="Arial" w:hAnsi="Arial" w:cs="Arial"/>
                <w:snapToGrid/>
                <w:sz w:val="20"/>
              </w:rPr>
            </w:pPr>
          </w:p>
        </w:tc>
        <w:tc>
          <w:tcPr>
            <w:tcW w:w="5861" w:type="dxa"/>
            <w:tcBorders>
              <w:top w:val="nil"/>
              <w:left w:val="nil"/>
              <w:bottom w:val="nil"/>
              <w:right w:val="nil"/>
            </w:tcBorders>
            <w:shd w:val="clear" w:color="auto" w:fill="auto"/>
            <w:noWrap/>
            <w:vAlign w:val="bottom"/>
            <w:hideMark/>
          </w:tcPr>
          <w:p w:rsidR="00391040" w:rsidRPr="00391040" w:rsidRDefault="00391040" w:rsidP="00391040">
            <w:pPr>
              <w:widowControl/>
              <w:rPr>
                <w:rFonts w:ascii="Arial" w:hAnsi="Arial" w:cs="Arial"/>
                <w:snapToGrid/>
                <w:sz w:val="20"/>
              </w:rPr>
            </w:pPr>
          </w:p>
        </w:tc>
      </w:tr>
      <w:tr w:rsidR="00391040" w:rsidRPr="00391040" w:rsidTr="00391040">
        <w:trPr>
          <w:trHeight w:val="255"/>
          <w:jc w:val="center"/>
        </w:trPr>
        <w:tc>
          <w:tcPr>
            <w:tcW w:w="966" w:type="dxa"/>
            <w:tcBorders>
              <w:top w:val="nil"/>
              <w:left w:val="nil"/>
              <w:bottom w:val="nil"/>
              <w:right w:val="nil"/>
            </w:tcBorders>
            <w:shd w:val="clear" w:color="auto" w:fill="auto"/>
            <w:noWrap/>
            <w:vAlign w:val="bottom"/>
            <w:hideMark/>
          </w:tcPr>
          <w:p w:rsidR="00391040" w:rsidRPr="00391040" w:rsidRDefault="00391040" w:rsidP="00391040">
            <w:pPr>
              <w:widowControl/>
              <w:jc w:val="right"/>
              <w:rPr>
                <w:rFonts w:ascii="Arial" w:hAnsi="Arial" w:cs="Arial"/>
                <w:snapToGrid/>
                <w:sz w:val="20"/>
              </w:rPr>
            </w:pPr>
            <w:r w:rsidRPr="00391040">
              <w:rPr>
                <w:rFonts w:ascii="Arial" w:hAnsi="Arial" w:cs="Arial"/>
                <w:snapToGrid/>
                <w:sz w:val="20"/>
              </w:rPr>
              <w:t>0.33</w:t>
            </w:r>
          </w:p>
        </w:tc>
        <w:tc>
          <w:tcPr>
            <w:tcW w:w="734" w:type="dxa"/>
            <w:tcBorders>
              <w:top w:val="nil"/>
              <w:left w:val="nil"/>
              <w:bottom w:val="nil"/>
              <w:right w:val="nil"/>
            </w:tcBorders>
            <w:shd w:val="clear" w:color="auto" w:fill="auto"/>
            <w:noWrap/>
            <w:vAlign w:val="bottom"/>
            <w:hideMark/>
          </w:tcPr>
          <w:p w:rsidR="00391040" w:rsidRPr="00391040" w:rsidRDefault="00391040" w:rsidP="00391040">
            <w:pPr>
              <w:widowControl/>
              <w:jc w:val="right"/>
              <w:rPr>
                <w:rFonts w:ascii="Arial" w:hAnsi="Arial" w:cs="Arial"/>
                <w:snapToGrid/>
                <w:sz w:val="20"/>
              </w:rPr>
            </w:pPr>
            <w:r w:rsidRPr="00391040">
              <w:rPr>
                <w:rFonts w:ascii="Arial" w:hAnsi="Arial" w:cs="Arial"/>
                <w:snapToGrid/>
                <w:sz w:val="20"/>
              </w:rPr>
              <w:t>0.55</w:t>
            </w:r>
          </w:p>
        </w:tc>
        <w:tc>
          <w:tcPr>
            <w:tcW w:w="5861" w:type="dxa"/>
            <w:tcBorders>
              <w:top w:val="nil"/>
              <w:left w:val="nil"/>
              <w:bottom w:val="nil"/>
              <w:right w:val="nil"/>
            </w:tcBorders>
            <w:shd w:val="clear" w:color="auto" w:fill="auto"/>
            <w:noWrap/>
            <w:vAlign w:val="bottom"/>
            <w:hideMark/>
          </w:tcPr>
          <w:p w:rsidR="00391040" w:rsidRPr="00391040" w:rsidRDefault="00391040" w:rsidP="00391040">
            <w:pPr>
              <w:widowControl/>
              <w:rPr>
                <w:rFonts w:ascii="Arial" w:hAnsi="Arial" w:cs="Arial"/>
                <w:snapToGrid/>
                <w:sz w:val="20"/>
              </w:rPr>
            </w:pPr>
            <w:r w:rsidRPr="00391040">
              <w:rPr>
                <w:rFonts w:ascii="Arial" w:hAnsi="Arial" w:cs="Arial"/>
                <w:snapToGrid/>
                <w:sz w:val="20"/>
              </w:rPr>
              <w:t>AAPOR's e=(I+R+NC+O)/(I+R+NC+O+OF)</w:t>
            </w:r>
          </w:p>
        </w:tc>
      </w:tr>
      <w:tr w:rsidR="00391040" w:rsidRPr="00391040" w:rsidTr="00391040">
        <w:trPr>
          <w:trHeight w:val="255"/>
          <w:jc w:val="center"/>
        </w:trPr>
        <w:tc>
          <w:tcPr>
            <w:tcW w:w="966" w:type="dxa"/>
            <w:tcBorders>
              <w:top w:val="nil"/>
              <w:left w:val="nil"/>
              <w:bottom w:val="nil"/>
              <w:right w:val="nil"/>
            </w:tcBorders>
            <w:shd w:val="clear" w:color="auto" w:fill="auto"/>
            <w:noWrap/>
            <w:vAlign w:val="bottom"/>
            <w:hideMark/>
          </w:tcPr>
          <w:p w:rsidR="00391040" w:rsidRPr="00391040" w:rsidRDefault="00391040" w:rsidP="00391040">
            <w:pPr>
              <w:widowControl/>
              <w:rPr>
                <w:rFonts w:ascii="Arial" w:hAnsi="Arial" w:cs="Arial"/>
                <w:snapToGrid/>
                <w:sz w:val="20"/>
              </w:rPr>
            </w:pPr>
          </w:p>
        </w:tc>
        <w:tc>
          <w:tcPr>
            <w:tcW w:w="734" w:type="dxa"/>
            <w:tcBorders>
              <w:top w:val="nil"/>
              <w:left w:val="nil"/>
              <w:bottom w:val="nil"/>
              <w:right w:val="nil"/>
            </w:tcBorders>
            <w:shd w:val="clear" w:color="auto" w:fill="auto"/>
            <w:noWrap/>
            <w:vAlign w:val="bottom"/>
            <w:hideMark/>
          </w:tcPr>
          <w:p w:rsidR="00391040" w:rsidRPr="00391040" w:rsidRDefault="00391040" w:rsidP="00391040">
            <w:pPr>
              <w:widowControl/>
              <w:rPr>
                <w:rFonts w:ascii="Arial" w:hAnsi="Arial" w:cs="Arial"/>
                <w:snapToGrid/>
                <w:sz w:val="20"/>
              </w:rPr>
            </w:pPr>
          </w:p>
        </w:tc>
        <w:tc>
          <w:tcPr>
            <w:tcW w:w="5861" w:type="dxa"/>
            <w:tcBorders>
              <w:top w:val="nil"/>
              <w:left w:val="nil"/>
              <w:bottom w:val="nil"/>
              <w:right w:val="nil"/>
            </w:tcBorders>
            <w:shd w:val="clear" w:color="auto" w:fill="auto"/>
            <w:noWrap/>
            <w:vAlign w:val="bottom"/>
            <w:hideMark/>
          </w:tcPr>
          <w:p w:rsidR="00391040" w:rsidRPr="00391040" w:rsidRDefault="00391040" w:rsidP="00391040">
            <w:pPr>
              <w:widowControl/>
              <w:rPr>
                <w:rFonts w:ascii="Arial" w:hAnsi="Arial" w:cs="Arial"/>
                <w:snapToGrid/>
                <w:sz w:val="20"/>
              </w:rPr>
            </w:pPr>
          </w:p>
        </w:tc>
      </w:tr>
      <w:tr w:rsidR="00391040" w:rsidRPr="00391040" w:rsidTr="00391040">
        <w:trPr>
          <w:trHeight w:val="255"/>
          <w:jc w:val="center"/>
        </w:trPr>
        <w:tc>
          <w:tcPr>
            <w:tcW w:w="966" w:type="dxa"/>
            <w:tcBorders>
              <w:top w:val="nil"/>
              <w:left w:val="nil"/>
              <w:bottom w:val="single" w:sz="4" w:space="0" w:color="auto"/>
              <w:right w:val="nil"/>
            </w:tcBorders>
            <w:shd w:val="clear" w:color="auto" w:fill="auto"/>
            <w:noWrap/>
            <w:vAlign w:val="bottom"/>
            <w:hideMark/>
          </w:tcPr>
          <w:p w:rsidR="00391040" w:rsidRPr="00391040" w:rsidRDefault="00391040" w:rsidP="00391040">
            <w:pPr>
              <w:widowControl/>
              <w:jc w:val="right"/>
              <w:rPr>
                <w:rFonts w:ascii="Arial" w:hAnsi="Arial" w:cs="Arial"/>
                <w:bCs/>
                <w:snapToGrid/>
                <w:sz w:val="20"/>
              </w:rPr>
            </w:pPr>
            <w:r w:rsidRPr="00391040">
              <w:rPr>
                <w:rFonts w:ascii="Arial" w:hAnsi="Arial" w:cs="Arial"/>
                <w:bCs/>
                <w:snapToGrid/>
                <w:sz w:val="20"/>
              </w:rPr>
              <w:t>14.8%</w:t>
            </w:r>
          </w:p>
        </w:tc>
        <w:tc>
          <w:tcPr>
            <w:tcW w:w="734" w:type="dxa"/>
            <w:tcBorders>
              <w:top w:val="nil"/>
              <w:left w:val="nil"/>
              <w:bottom w:val="single" w:sz="4" w:space="0" w:color="auto"/>
              <w:right w:val="nil"/>
            </w:tcBorders>
            <w:shd w:val="clear" w:color="auto" w:fill="auto"/>
            <w:noWrap/>
            <w:vAlign w:val="bottom"/>
            <w:hideMark/>
          </w:tcPr>
          <w:p w:rsidR="00391040" w:rsidRPr="00391040" w:rsidRDefault="00391040" w:rsidP="00391040">
            <w:pPr>
              <w:widowControl/>
              <w:jc w:val="right"/>
              <w:rPr>
                <w:rFonts w:ascii="Arial" w:hAnsi="Arial" w:cs="Arial"/>
                <w:bCs/>
                <w:snapToGrid/>
                <w:sz w:val="20"/>
              </w:rPr>
            </w:pPr>
            <w:r w:rsidRPr="00391040">
              <w:rPr>
                <w:rFonts w:ascii="Arial" w:hAnsi="Arial" w:cs="Arial"/>
                <w:bCs/>
                <w:snapToGrid/>
                <w:sz w:val="20"/>
              </w:rPr>
              <w:t>12.0%</w:t>
            </w:r>
          </w:p>
        </w:tc>
        <w:tc>
          <w:tcPr>
            <w:tcW w:w="5861" w:type="dxa"/>
            <w:tcBorders>
              <w:top w:val="nil"/>
              <w:left w:val="nil"/>
              <w:bottom w:val="single" w:sz="4" w:space="0" w:color="auto"/>
              <w:right w:val="nil"/>
            </w:tcBorders>
            <w:shd w:val="clear" w:color="auto" w:fill="auto"/>
            <w:noWrap/>
            <w:vAlign w:val="bottom"/>
            <w:hideMark/>
          </w:tcPr>
          <w:p w:rsidR="00391040" w:rsidRPr="00391040" w:rsidRDefault="00391040" w:rsidP="00391040">
            <w:pPr>
              <w:widowControl/>
              <w:rPr>
                <w:rFonts w:ascii="Arial" w:hAnsi="Arial" w:cs="Arial"/>
                <w:bCs/>
                <w:snapToGrid/>
                <w:sz w:val="20"/>
              </w:rPr>
            </w:pPr>
            <w:r w:rsidRPr="00391040">
              <w:rPr>
                <w:rFonts w:ascii="Arial" w:hAnsi="Arial" w:cs="Arial"/>
                <w:bCs/>
                <w:snapToGrid/>
                <w:sz w:val="20"/>
              </w:rPr>
              <w:t>AAPOR RR3=I/[I+R+NC+O+(e*UH/UO)]</w:t>
            </w:r>
          </w:p>
        </w:tc>
      </w:tr>
    </w:tbl>
    <w:p w:rsidR="00391040" w:rsidRDefault="00391040" w:rsidP="00BE1176">
      <w:pPr>
        <w:pStyle w:val="BodyofReport"/>
        <w:spacing w:line="360" w:lineRule="auto"/>
        <w:rPr>
          <w:highlight w:val="yellow"/>
        </w:rPr>
      </w:pPr>
    </w:p>
    <w:sectPr w:rsidR="00391040" w:rsidSect="00F26D49">
      <w:footerReference w:type="even" r:id="rId14"/>
      <w:footerReference w:type="default" r:id="rId15"/>
      <w:endnotePr>
        <w:numFmt w:val="decimal"/>
      </w:endnotePr>
      <w:pgSz w:w="12240" w:h="15840"/>
      <w:pgMar w:top="1440" w:right="1440" w:bottom="1440" w:left="1440" w:header="1440" w:footer="1440" w:gutter="0"/>
      <w:cols w:space="720"/>
      <w:noEndnote/>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4578" w:rsidRDefault="00214578">
      <w:r>
        <w:separator/>
      </w:r>
    </w:p>
  </w:endnote>
  <w:endnote w:type="continuationSeparator" w:id="0">
    <w:p w:rsidR="00214578" w:rsidRDefault="00214578">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4578" w:rsidRDefault="0021457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14578" w:rsidRDefault="00214578">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4578" w:rsidRDefault="0021457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91040">
      <w:rPr>
        <w:rStyle w:val="PageNumber"/>
        <w:noProof/>
      </w:rPr>
      <w:t>3</w:t>
    </w:r>
    <w:r>
      <w:rPr>
        <w:rStyle w:val="PageNumber"/>
      </w:rPr>
      <w:fldChar w:fldCharType="end"/>
    </w:r>
  </w:p>
  <w:p w:rsidR="00214578" w:rsidRDefault="00214578">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4578" w:rsidRDefault="00214578">
      <w:r>
        <w:separator/>
      </w:r>
    </w:p>
  </w:footnote>
  <w:footnote w:type="continuationSeparator" w:id="0">
    <w:p w:rsidR="00214578" w:rsidRDefault="00214578">
      <w:r>
        <w:continuationSeparator/>
      </w:r>
    </w:p>
  </w:footnote>
  <w:footnote w:id="1">
    <w:p w:rsidR="00214578" w:rsidRDefault="00214578" w:rsidP="00BE1176">
      <w:pPr>
        <w:pStyle w:val="FootnoteText"/>
      </w:pPr>
      <w:r>
        <w:rPr>
          <w:rStyle w:val="FootnoteReference"/>
        </w:rPr>
        <w:footnoteRef/>
      </w:r>
      <w:r>
        <w:t xml:space="preserve"> Blumberg SJ, Luke JV. Wireless substitution: Early release of estimates from the National Health Interview Survey, July-December, 2009. </w:t>
      </w:r>
      <w:proofErr w:type="gramStart"/>
      <w:r>
        <w:t>National Center for Health Statistics.</w:t>
      </w:r>
      <w:proofErr w:type="gramEnd"/>
      <w:r>
        <w:t xml:space="preserve"> May 2010.</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773FD"/>
    <w:multiLevelType w:val="hybridMultilevel"/>
    <w:tmpl w:val="FBE88BC4"/>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activeWritingStyle w:appName="MSWord" w:lang="en-US" w:vendorID="64" w:dllVersion="131077" w:nlCheck="1" w:checkStyle="1"/>
  <w:activeWritingStyle w:appName="MSWord" w:lang="en-US" w:vendorID="64" w:dllVersion="131078" w:nlCheck="1" w:checkStyle="1"/>
  <w:proofState w:spelling="clean" w:grammar="clean"/>
  <w:stylePaneFormatFilter w:val="3F01"/>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Pr>
  <w:compat/>
  <w:rsids>
    <w:rsidRoot w:val="00D44672"/>
    <w:rsid w:val="00011612"/>
    <w:rsid w:val="000121BB"/>
    <w:rsid w:val="0002104A"/>
    <w:rsid w:val="00023842"/>
    <w:rsid w:val="00033809"/>
    <w:rsid w:val="000412A2"/>
    <w:rsid w:val="00044DFC"/>
    <w:rsid w:val="00070E07"/>
    <w:rsid w:val="00090193"/>
    <w:rsid w:val="000C28AF"/>
    <w:rsid w:val="000C4E36"/>
    <w:rsid w:val="000D4D58"/>
    <w:rsid w:val="000F6120"/>
    <w:rsid w:val="00111706"/>
    <w:rsid w:val="00130280"/>
    <w:rsid w:val="001362BA"/>
    <w:rsid w:val="001463B9"/>
    <w:rsid w:val="001527D9"/>
    <w:rsid w:val="00160144"/>
    <w:rsid w:val="00190979"/>
    <w:rsid w:val="00192741"/>
    <w:rsid w:val="001B3E1B"/>
    <w:rsid w:val="001C31FE"/>
    <w:rsid w:val="001C71AB"/>
    <w:rsid w:val="001D2280"/>
    <w:rsid w:val="001F3A26"/>
    <w:rsid w:val="00214578"/>
    <w:rsid w:val="00216E22"/>
    <w:rsid w:val="00225B39"/>
    <w:rsid w:val="00257E51"/>
    <w:rsid w:val="002A1A87"/>
    <w:rsid w:val="002A29A7"/>
    <w:rsid w:val="002A65D6"/>
    <w:rsid w:val="002E0692"/>
    <w:rsid w:val="002E502D"/>
    <w:rsid w:val="002F4622"/>
    <w:rsid w:val="00310C09"/>
    <w:rsid w:val="00332DAF"/>
    <w:rsid w:val="003505FC"/>
    <w:rsid w:val="003722A1"/>
    <w:rsid w:val="00373AE8"/>
    <w:rsid w:val="003858B4"/>
    <w:rsid w:val="00391040"/>
    <w:rsid w:val="003A5D4F"/>
    <w:rsid w:val="003A68C0"/>
    <w:rsid w:val="003D549E"/>
    <w:rsid w:val="00403581"/>
    <w:rsid w:val="00411CA2"/>
    <w:rsid w:val="00456E5B"/>
    <w:rsid w:val="0046253A"/>
    <w:rsid w:val="00472367"/>
    <w:rsid w:val="00477FB5"/>
    <w:rsid w:val="004D0ADC"/>
    <w:rsid w:val="004D1E08"/>
    <w:rsid w:val="004D59F8"/>
    <w:rsid w:val="004E2AA4"/>
    <w:rsid w:val="004E49E3"/>
    <w:rsid w:val="005022A4"/>
    <w:rsid w:val="00510501"/>
    <w:rsid w:val="005219D3"/>
    <w:rsid w:val="00551108"/>
    <w:rsid w:val="00556B8F"/>
    <w:rsid w:val="005B5160"/>
    <w:rsid w:val="0060289D"/>
    <w:rsid w:val="00606D26"/>
    <w:rsid w:val="00610F8D"/>
    <w:rsid w:val="00621ACB"/>
    <w:rsid w:val="0062404E"/>
    <w:rsid w:val="00631383"/>
    <w:rsid w:val="00635942"/>
    <w:rsid w:val="0063785C"/>
    <w:rsid w:val="00663462"/>
    <w:rsid w:val="00675DD6"/>
    <w:rsid w:val="006806AB"/>
    <w:rsid w:val="00696461"/>
    <w:rsid w:val="006A0F4C"/>
    <w:rsid w:val="006A2BB5"/>
    <w:rsid w:val="006C2CB5"/>
    <w:rsid w:val="006E6193"/>
    <w:rsid w:val="006F3C2C"/>
    <w:rsid w:val="00702B74"/>
    <w:rsid w:val="007600C8"/>
    <w:rsid w:val="007B0299"/>
    <w:rsid w:val="007B750B"/>
    <w:rsid w:val="007D4577"/>
    <w:rsid w:val="00802416"/>
    <w:rsid w:val="00813481"/>
    <w:rsid w:val="008163B0"/>
    <w:rsid w:val="00827269"/>
    <w:rsid w:val="00835534"/>
    <w:rsid w:val="00837168"/>
    <w:rsid w:val="00842785"/>
    <w:rsid w:val="0085524B"/>
    <w:rsid w:val="008D415B"/>
    <w:rsid w:val="008E1768"/>
    <w:rsid w:val="00910210"/>
    <w:rsid w:val="00955B62"/>
    <w:rsid w:val="0096314D"/>
    <w:rsid w:val="0097199A"/>
    <w:rsid w:val="009C614A"/>
    <w:rsid w:val="009D3B08"/>
    <w:rsid w:val="00A23A70"/>
    <w:rsid w:val="00A27C5C"/>
    <w:rsid w:val="00A4484C"/>
    <w:rsid w:val="00A65166"/>
    <w:rsid w:val="00A6706D"/>
    <w:rsid w:val="00A84300"/>
    <w:rsid w:val="00AB2ADD"/>
    <w:rsid w:val="00AE246D"/>
    <w:rsid w:val="00AF6F6F"/>
    <w:rsid w:val="00B454EE"/>
    <w:rsid w:val="00B76E3B"/>
    <w:rsid w:val="00BA31E1"/>
    <w:rsid w:val="00BB7DA7"/>
    <w:rsid w:val="00BC275F"/>
    <w:rsid w:val="00BD1C84"/>
    <w:rsid w:val="00BE1176"/>
    <w:rsid w:val="00BE3833"/>
    <w:rsid w:val="00BF6DE2"/>
    <w:rsid w:val="00C455CB"/>
    <w:rsid w:val="00C47657"/>
    <w:rsid w:val="00C549C6"/>
    <w:rsid w:val="00C65DB8"/>
    <w:rsid w:val="00C82CD1"/>
    <w:rsid w:val="00C95C3A"/>
    <w:rsid w:val="00CA07D3"/>
    <w:rsid w:val="00CB1363"/>
    <w:rsid w:val="00CC5024"/>
    <w:rsid w:val="00CC765F"/>
    <w:rsid w:val="00CF35AB"/>
    <w:rsid w:val="00D22D54"/>
    <w:rsid w:val="00D2369B"/>
    <w:rsid w:val="00D3221E"/>
    <w:rsid w:val="00D44672"/>
    <w:rsid w:val="00D822D1"/>
    <w:rsid w:val="00D87557"/>
    <w:rsid w:val="00DA521E"/>
    <w:rsid w:val="00DC18FA"/>
    <w:rsid w:val="00DC38C3"/>
    <w:rsid w:val="00E0341A"/>
    <w:rsid w:val="00E2253A"/>
    <w:rsid w:val="00E36A32"/>
    <w:rsid w:val="00E51DFD"/>
    <w:rsid w:val="00E67CA9"/>
    <w:rsid w:val="00E7389C"/>
    <w:rsid w:val="00E9014B"/>
    <w:rsid w:val="00ED03CB"/>
    <w:rsid w:val="00EE1BB7"/>
    <w:rsid w:val="00EF4E13"/>
    <w:rsid w:val="00F11BB4"/>
    <w:rsid w:val="00F11F75"/>
    <w:rsid w:val="00F16150"/>
    <w:rsid w:val="00F26D49"/>
    <w:rsid w:val="00FA5833"/>
    <w:rsid w:val="00FB6864"/>
    <w:rsid w:val="00FF17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26D49"/>
    <w:pPr>
      <w:widowControl w:val="0"/>
    </w:pPr>
    <w:rPr>
      <w:snapToGrid w:val="0"/>
      <w:sz w:val="24"/>
    </w:rPr>
  </w:style>
  <w:style w:type="paragraph" w:styleId="Heading1">
    <w:name w:val="heading 1"/>
    <w:basedOn w:val="Normal"/>
    <w:next w:val="Normal"/>
    <w:qFormat/>
    <w:rsid w:val="00F26D49"/>
    <w:pPr>
      <w:keepNext/>
      <w:spacing w:before="240" w:after="60"/>
      <w:outlineLvl w:val="0"/>
    </w:pPr>
    <w:rPr>
      <w:rFonts w:ascii="Arial" w:hAnsi="Arial"/>
      <w:b/>
      <w:kern w:val="28"/>
      <w:sz w:val="28"/>
    </w:rPr>
  </w:style>
  <w:style w:type="paragraph" w:styleId="Heading2">
    <w:name w:val="heading 2"/>
    <w:basedOn w:val="Normal"/>
    <w:next w:val="Normal"/>
    <w:qFormat/>
    <w:rsid w:val="00F26D49"/>
    <w:pPr>
      <w:keepNext/>
      <w:spacing w:before="240" w:after="60"/>
      <w:outlineLvl w:val="1"/>
    </w:pPr>
    <w:rPr>
      <w:rFonts w:ascii="Arial" w:hAnsi="Arial"/>
      <w:b/>
      <w:i/>
    </w:rPr>
  </w:style>
  <w:style w:type="paragraph" w:styleId="Heading3">
    <w:name w:val="heading 3"/>
    <w:basedOn w:val="Normal"/>
    <w:next w:val="Normal"/>
    <w:qFormat/>
    <w:rsid w:val="00F26D49"/>
    <w:pPr>
      <w:keepNext/>
      <w:jc w:val="right"/>
      <w:outlineLvl w:val="2"/>
    </w:pPr>
    <w:rPr>
      <w:rFonts w:ascii="Arial" w:hAnsi="Arial"/>
      <w:b/>
      <w:color w:val="000000"/>
      <w:sz w:val="20"/>
    </w:rPr>
  </w:style>
  <w:style w:type="paragraph" w:styleId="Heading4">
    <w:name w:val="heading 4"/>
    <w:basedOn w:val="Normal"/>
    <w:next w:val="Normal"/>
    <w:qFormat/>
    <w:rsid w:val="00F26D49"/>
    <w:pPr>
      <w:keepNext/>
      <w:outlineLvl w:val="3"/>
    </w:pPr>
    <w:rPr>
      <w:b/>
      <w:bCs/>
    </w:rPr>
  </w:style>
  <w:style w:type="paragraph" w:styleId="Heading5">
    <w:name w:val="heading 5"/>
    <w:basedOn w:val="Normal"/>
    <w:next w:val="Normal"/>
    <w:qFormat/>
    <w:rsid w:val="00F26D49"/>
    <w:pPr>
      <w:keepNext/>
      <w:outlineLvl w:val="4"/>
    </w:pPr>
    <w:rPr>
      <w:rFonts w:ascii="Arial" w:hAnsi="Arial" w:cs="Arial"/>
      <w:b/>
      <w:bCs/>
      <w:sz w:val="20"/>
    </w:rPr>
  </w:style>
  <w:style w:type="paragraph" w:styleId="Heading6">
    <w:name w:val="heading 6"/>
    <w:basedOn w:val="Normal"/>
    <w:next w:val="Normal"/>
    <w:qFormat/>
    <w:rsid w:val="00F26D49"/>
    <w:pPr>
      <w:keepNext/>
      <w:ind w:right="73"/>
      <w:jc w:val="right"/>
      <w:outlineLvl w:val="5"/>
    </w:pPr>
    <w:rPr>
      <w:i/>
      <w:iCs/>
      <w:color w:val="0000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F26D49"/>
    <w:rPr>
      <w:rFonts w:ascii="Times New Roman" w:hAnsi="Times New Roman"/>
      <w:sz w:val="20"/>
      <w:vertAlign w:val="superscript"/>
    </w:rPr>
  </w:style>
  <w:style w:type="paragraph" w:styleId="Title">
    <w:name w:val="Title"/>
    <w:basedOn w:val="Normal"/>
    <w:qFormat/>
    <w:rsid w:val="00F26D49"/>
    <w:pPr>
      <w:jc w:val="center"/>
    </w:pPr>
    <w:rPr>
      <w:rFonts w:ascii="Arial" w:hAnsi="Arial"/>
      <w:b/>
      <w:sz w:val="40"/>
    </w:rPr>
  </w:style>
  <w:style w:type="paragraph" w:styleId="FootnoteText">
    <w:name w:val="footnote text"/>
    <w:basedOn w:val="Normal"/>
    <w:link w:val="FootnoteTextChar"/>
    <w:semiHidden/>
    <w:rsid w:val="00F26D49"/>
    <w:pPr>
      <w:keepLines/>
    </w:pPr>
    <w:rPr>
      <w:sz w:val="20"/>
    </w:rPr>
  </w:style>
  <w:style w:type="paragraph" w:customStyle="1" w:styleId="BodyofReport">
    <w:name w:val="Body of Report"/>
    <w:basedOn w:val="Normal"/>
    <w:rsid w:val="00F26D49"/>
    <w:pPr>
      <w:widowControl/>
      <w:spacing w:line="312" w:lineRule="auto"/>
      <w:ind w:firstLine="720"/>
    </w:pPr>
    <w:rPr>
      <w:snapToGrid/>
    </w:rPr>
  </w:style>
  <w:style w:type="paragraph" w:styleId="Subtitle">
    <w:name w:val="Subtitle"/>
    <w:basedOn w:val="Normal"/>
    <w:qFormat/>
    <w:rsid w:val="00F26D49"/>
    <w:pPr>
      <w:spacing w:after="60"/>
      <w:jc w:val="center"/>
      <w:outlineLvl w:val="1"/>
    </w:pPr>
    <w:rPr>
      <w:rFonts w:ascii="Arial" w:hAnsi="Arial"/>
      <w:sz w:val="32"/>
    </w:rPr>
  </w:style>
  <w:style w:type="paragraph" w:styleId="Header">
    <w:name w:val="header"/>
    <w:basedOn w:val="Normal"/>
    <w:rsid w:val="00F26D49"/>
    <w:pPr>
      <w:tabs>
        <w:tab w:val="center" w:pos="4320"/>
        <w:tab w:val="right" w:pos="8640"/>
      </w:tabs>
    </w:pPr>
  </w:style>
  <w:style w:type="paragraph" w:styleId="Footer">
    <w:name w:val="footer"/>
    <w:basedOn w:val="Normal"/>
    <w:rsid w:val="00F26D49"/>
    <w:pPr>
      <w:tabs>
        <w:tab w:val="center" w:pos="4320"/>
        <w:tab w:val="right" w:pos="8640"/>
      </w:tabs>
    </w:pPr>
  </w:style>
  <w:style w:type="character" w:styleId="PageNumber">
    <w:name w:val="page number"/>
    <w:basedOn w:val="DefaultParagraphFont"/>
    <w:rsid w:val="00F26D49"/>
  </w:style>
  <w:style w:type="paragraph" w:styleId="PlainText">
    <w:name w:val="Plain Text"/>
    <w:basedOn w:val="Normal"/>
    <w:rsid w:val="00F26D49"/>
    <w:pPr>
      <w:widowControl/>
    </w:pPr>
    <w:rPr>
      <w:rFonts w:ascii="Courier New" w:hAnsi="Courier New"/>
      <w:snapToGrid/>
      <w:sz w:val="20"/>
    </w:rPr>
  </w:style>
  <w:style w:type="character" w:styleId="CommentReference">
    <w:name w:val="annotation reference"/>
    <w:basedOn w:val="DefaultParagraphFont"/>
    <w:semiHidden/>
    <w:rsid w:val="00F26D49"/>
    <w:rPr>
      <w:sz w:val="16"/>
      <w:szCs w:val="16"/>
    </w:rPr>
  </w:style>
  <w:style w:type="paragraph" w:styleId="CommentText">
    <w:name w:val="annotation text"/>
    <w:basedOn w:val="Normal"/>
    <w:semiHidden/>
    <w:rsid w:val="00F26D49"/>
    <w:rPr>
      <w:sz w:val="20"/>
    </w:rPr>
  </w:style>
  <w:style w:type="paragraph" w:styleId="BalloonText">
    <w:name w:val="Balloon Text"/>
    <w:basedOn w:val="Normal"/>
    <w:semiHidden/>
    <w:rsid w:val="00F26D49"/>
    <w:rPr>
      <w:rFonts w:ascii="Tahoma" w:hAnsi="Tahoma" w:cs="Tahoma"/>
      <w:sz w:val="16"/>
      <w:szCs w:val="16"/>
    </w:rPr>
  </w:style>
  <w:style w:type="paragraph" w:customStyle="1" w:styleId="DocumentClient">
    <w:name w:val="Document Client"/>
    <w:basedOn w:val="Normal"/>
    <w:rsid w:val="00F26D49"/>
    <w:pPr>
      <w:framePr w:hSpace="180" w:wrap="around" w:vAnchor="page" w:hAnchor="text" w:y="1081"/>
      <w:widowControl/>
      <w:spacing w:after="240"/>
      <w:ind w:left="720" w:right="2880"/>
    </w:pPr>
    <w:rPr>
      <w:rFonts w:ascii="Tahoma" w:hAnsi="Tahoma"/>
      <w:snapToGrid/>
      <w:sz w:val="18"/>
      <w:szCs w:val="24"/>
    </w:rPr>
  </w:style>
  <w:style w:type="paragraph" w:customStyle="1" w:styleId="DocumentProject">
    <w:name w:val="Document Project"/>
    <w:basedOn w:val="DocumentClient"/>
    <w:rsid w:val="00F26D49"/>
    <w:pPr>
      <w:framePr w:wrap="around"/>
    </w:pPr>
    <w:rPr>
      <w:b/>
      <w:w w:val="98"/>
      <w:sz w:val="28"/>
    </w:rPr>
  </w:style>
  <w:style w:type="paragraph" w:customStyle="1" w:styleId="DocumentDate">
    <w:name w:val="Document Date"/>
    <w:basedOn w:val="DocumentClient"/>
    <w:rsid w:val="00F26D49"/>
    <w:pPr>
      <w:framePr w:wrap="around"/>
      <w:spacing w:after="1440"/>
    </w:pPr>
    <w:rPr>
      <w:sz w:val="16"/>
    </w:rPr>
  </w:style>
  <w:style w:type="table" w:styleId="TableGrid">
    <w:name w:val="Table Grid"/>
    <w:basedOn w:val="TableNormal"/>
    <w:rsid w:val="00DA521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noteTextChar">
    <w:name w:val="Footnote Text Char"/>
    <w:basedOn w:val="DefaultParagraphFont"/>
    <w:link w:val="FootnoteText"/>
    <w:semiHidden/>
    <w:rsid w:val="00BE1176"/>
    <w:rPr>
      <w:snapToGrid w:val="0"/>
    </w:rPr>
  </w:style>
</w:styles>
</file>

<file path=word/webSettings.xml><?xml version="1.0" encoding="utf-8"?>
<w:webSettings xmlns:r="http://schemas.openxmlformats.org/officeDocument/2006/relationships" xmlns:w="http://schemas.openxmlformats.org/wordprocessingml/2006/main">
  <w:divs>
    <w:div w:id="68886329">
      <w:bodyDiv w:val="1"/>
      <w:marLeft w:val="0"/>
      <w:marRight w:val="0"/>
      <w:marTop w:val="0"/>
      <w:marBottom w:val="0"/>
      <w:divBdr>
        <w:top w:val="none" w:sz="0" w:space="0" w:color="auto"/>
        <w:left w:val="none" w:sz="0" w:space="0" w:color="auto"/>
        <w:bottom w:val="none" w:sz="0" w:space="0" w:color="auto"/>
        <w:right w:val="none" w:sz="0" w:space="0" w:color="auto"/>
      </w:divBdr>
    </w:div>
    <w:div w:id="94638426">
      <w:bodyDiv w:val="1"/>
      <w:marLeft w:val="0"/>
      <w:marRight w:val="0"/>
      <w:marTop w:val="0"/>
      <w:marBottom w:val="0"/>
      <w:divBdr>
        <w:top w:val="none" w:sz="0" w:space="0" w:color="auto"/>
        <w:left w:val="none" w:sz="0" w:space="0" w:color="auto"/>
        <w:bottom w:val="none" w:sz="0" w:space="0" w:color="auto"/>
        <w:right w:val="none" w:sz="0" w:space="0" w:color="auto"/>
      </w:divBdr>
    </w:div>
    <w:div w:id="96416592">
      <w:bodyDiv w:val="1"/>
      <w:marLeft w:val="0"/>
      <w:marRight w:val="0"/>
      <w:marTop w:val="0"/>
      <w:marBottom w:val="0"/>
      <w:divBdr>
        <w:top w:val="none" w:sz="0" w:space="0" w:color="auto"/>
        <w:left w:val="none" w:sz="0" w:space="0" w:color="auto"/>
        <w:bottom w:val="none" w:sz="0" w:space="0" w:color="auto"/>
        <w:right w:val="none" w:sz="0" w:space="0" w:color="auto"/>
      </w:divBdr>
    </w:div>
    <w:div w:id="273371093">
      <w:bodyDiv w:val="1"/>
      <w:marLeft w:val="0"/>
      <w:marRight w:val="0"/>
      <w:marTop w:val="0"/>
      <w:marBottom w:val="0"/>
      <w:divBdr>
        <w:top w:val="none" w:sz="0" w:space="0" w:color="auto"/>
        <w:left w:val="none" w:sz="0" w:space="0" w:color="auto"/>
        <w:bottom w:val="none" w:sz="0" w:space="0" w:color="auto"/>
        <w:right w:val="none" w:sz="0" w:space="0" w:color="auto"/>
      </w:divBdr>
    </w:div>
    <w:div w:id="289090893">
      <w:bodyDiv w:val="1"/>
      <w:marLeft w:val="0"/>
      <w:marRight w:val="0"/>
      <w:marTop w:val="0"/>
      <w:marBottom w:val="0"/>
      <w:divBdr>
        <w:top w:val="none" w:sz="0" w:space="0" w:color="auto"/>
        <w:left w:val="none" w:sz="0" w:space="0" w:color="auto"/>
        <w:bottom w:val="none" w:sz="0" w:space="0" w:color="auto"/>
        <w:right w:val="none" w:sz="0" w:space="0" w:color="auto"/>
      </w:divBdr>
    </w:div>
    <w:div w:id="295989912">
      <w:bodyDiv w:val="1"/>
      <w:marLeft w:val="0"/>
      <w:marRight w:val="0"/>
      <w:marTop w:val="0"/>
      <w:marBottom w:val="0"/>
      <w:divBdr>
        <w:top w:val="none" w:sz="0" w:space="0" w:color="auto"/>
        <w:left w:val="none" w:sz="0" w:space="0" w:color="auto"/>
        <w:bottom w:val="none" w:sz="0" w:space="0" w:color="auto"/>
        <w:right w:val="none" w:sz="0" w:space="0" w:color="auto"/>
      </w:divBdr>
    </w:div>
    <w:div w:id="317030034">
      <w:bodyDiv w:val="1"/>
      <w:marLeft w:val="0"/>
      <w:marRight w:val="0"/>
      <w:marTop w:val="0"/>
      <w:marBottom w:val="0"/>
      <w:divBdr>
        <w:top w:val="none" w:sz="0" w:space="0" w:color="auto"/>
        <w:left w:val="none" w:sz="0" w:space="0" w:color="auto"/>
        <w:bottom w:val="none" w:sz="0" w:space="0" w:color="auto"/>
        <w:right w:val="none" w:sz="0" w:space="0" w:color="auto"/>
      </w:divBdr>
    </w:div>
    <w:div w:id="358238518">
      <w:bodyDiv w:val="1"/>
      <w:marLeft w:val="0"/>
      <w:marRight w:val="0"/>
      <w:marTop w:val="0"/>
      <w:marBottom w:val="0"/>
      <w:divBdr>
        <w:top w:val="none" w:sz="0" w:space="0" w:color="auto"/>
        <w:left w:val="none" w:sz="0" w:space="0" w:color="auto"/>
        <w:bottom w:val="none" w:sz="0" w:space="0" w:color="auto"/>
        <w:right w:val="none" w:sz="0" w:space="0" w:color="auto"/>
      </w:divBdr>
    </w:div>
    <w:div w:id="362370206">
      <w:bodyDiv w:val="1"/>
      <w:marLeft w:val="0"/>
      <w:marRight w:val="0"/>
      <w:marTop w:val="0"/>
      <w:marBottom w:val="0"/>
      <w:divBdr>
        <w:top w:val="none" w:sz="0" w:space="0" w:color="auto"/>
        <w:left w:val="none" w:sz="0" w:space="0" w:color="auto"/>
        <w:bottom w:val="none" w:sz="0" w:space="0" w:color="auto"/>
        <w:right w:val="none" w:sz="0" w:space="0" w:color="auto"/>
      </w:divBdr>
    </w:div>
    <w:div w:id="373118206">
      <w:bodyDiv w:val="1"/>
      <w:marLeft w:val="0"/>
      <w:marRight w:val="0"/>
      <w:marTop w:val="0"/>
      <w:marBottom w:val="0"/>
      <w:divBdr>
        <w:top w:val="none" w:sz="0" w:space="0" w:color="auto"/>
        <w:left w:val="none" w:sz="0" w:space="0" w:color="auto"/>
        <w:bottom w:val="none" w:sz="0" w:space="0" w:color="auto"/>
        <w:right w:val="none" w:sz="0" w:space="0" w:color="auto"/>
      </w:divBdr>
    </w:div>
    <w:div w:id="430590774">
      <w:bodyDiv w:val="1"/>
      <w:marLeft w:val="0"/>
      <w:marRight w:val="0"/>
      <w:marTop w:val="0"/>
      <w:marBottom w:val="0"/>
      <w:divBdr>
        <w:top w:val="none" w:sz="0" w:space="0" w:color="auto"/>
        <w:left w:val="none" w:sz="0" w:space="0" w:color="auto"/>
        <w:bottom w:val="none" w:sz="0" w:space="0" w:color="auto"/>
        <w:right w:val="none" w:sz="0" w:space="0" w:color="auto"/>
      </w:divBdr>
    </w:div>
    <w:div w:id="435566916">
      <w:bodyDiv w:val="1"/>
      <w:marLeft w:val="0"/>
      <w:marRight w:val="0"/>
      <w:marTop w:val="0"/>
      <w:marBottom w:val="0"/>
      <w:divBdr>
        <w:top w:val="none" w:sz="0" w:space="0" w:color="auto"/>
        <w:left w:val="none" w:sz="0" w:space="0" w:color="auto"/>
        <w:bottom w:val="none" w:sz="0" w:space="0" w:color="auto"/>
        <w:right w:val="none" w:sz="0" w:space="0" w:color="auto"/>
      </w:divBdr>
    </w:div>
    <w:div w:id="537813271">
      <w:bodyDiv w:val="1"/>
      <w:marLeft w:val="0"/>
      <w:marRight w:val="0"/>
      <w:marTop w:val="0"/>
      <w:marBottom w:val="0"/>
      <w:divBdr>
        <w:top w:val="none" w:sz="0" w:space="0" w:color="auto"/>
        <w:left w:val="none" w:sz="0" w:space="0" w:color="auto"/>
        <w:bottom w:val="none" w:sz="0" w:space="0" w:color="auto"/>
        <w:right w:val="none" w:sz="0" w:space="0" w:color="auto"/>
      </w:divBdr>
    </w:div>
    <w:div w:id="558059001">
      <w:bodyDiv w:val="1"/>
      <w:marLeft w:val="0"/>
      <w:marRight w:val="0"/>
      <w:marTop w:val="0"/>
      <w:marBottom w:val="0"/>
      <w:divBdr>
        <w:top w:val="none" w:sz="0" w:space="0" w:color="auto"/>
        <w:left w:val="none" w:sz="0" w:space="0" w:color="auto"/>
        <w:bottom w:val="none" w:sz="0" w:space="0" w:color="auto"/>
        <w:right w:val="none" w:sz="0" w:space="0" w:color="auto"/>
      </w:divBdr>
    </w:div>
    <w:div w:id="643003738">
      <w:bodyDiv w:val="1"/>
      <w:marLeft w:val="0"/>
      <w:marRight w:val="0"/>
      <w:marTop w:val="0"/>
      <w:marBottom w:val="0"/>
      <w:divBdr>
        <w:top w:val="none" w:sz="0" w:space="0" w:color="auto"/>
        <w:left w:val="none" w:sz="0" w:space="0" w:color="auto"/>
        <w:bottom w:val="none" w:sz="0" w:space="0" w:color="auto"/>
        <w:right w:val="none" w:sz="0" w:space="0" w:color="auto"/>
      </w:divBdr>
    </w:div>
    <w:div w:id="709886557">
      <w:bodyDiv w:val="1"/>
      <w:marLeft w:val="0"/>
      <w:marRight w:val="0"/>
      <w:marTop w:val="0"/>
      <w:marBottom w:val="0"/>
      <w:divBdr>
        <w:top w:val="none" w:sz="0" w:space="0" w:color="auto"/>
        <w:left w:val="none" w:sz="0" w:space="0" w:color="auto"/>
        <w:bottom w:val="none" w:sz="0" w:space="0" w:color="auto"/>
        <w:right w:val="none" w:sz="0" w:space="0" w:color="auto"/>
      </w:divBdr>
    </w:div>
    <w:div w:id="799302373">
      <w:bodyDiv w:val="1"/>
      <w:marLeft w:val="0"/>
      <w:marRight w:val="0"/>
      <w:marTop w:val="0"/>
      <w:marBottom w:val="0"/>
      <w:divBdr>
        <w:top w:val="none" w:sz="0" w:space="0" w:color="auto"/>
        <w:left w:val="none" w:sz="0" w:space="0" w:color="auto"/>
        <w:bottom w:val="none" w:sz="0" w:space="0" w:color="auto"/>
        <w:right w:val="none" w:sz="0" w:space="0" w:color="auto"/>
      </w:divBdr>
    </w:div>
    <w:div w:id="803624229">
      <w:bodyDiv w:val="1"/>
      <w:marLeft w:val="0"/>
      <w:marRight w:val="0"/>
      <w:marTop w:val="0"/>
      <w:marBottom w:val="0"/>
      <w:divBdr>
        <w:top w:val="none" w:sz="0" w:space="0" w:color="auto"/>
        <w:left w:val="none" w:sz="0" w:space="0" w:color="auto"/>
        <w:bottom w:val="none" w:sz="0" w:space="0" w:color="auto"/>
        <w:right w:val="none" w:sz="0" w:space="0" w:color="auto"/>
      </w:divBdr>
    </w:div>
    <w:div w:id="857231883">
      <w:bodyDiv w:val="1"/>
      <w:marLeft w:val="0"/>
      <w:marRight w:val="0"/>
      <w:marTop w:val="0"/>
      <w:marBottom w:val="0"/>
      <w:divBdr>
        <w:top w:val="none" w:sz="0" w:space="0" w:color="auto"/>
        <w:left w:val="none" w:sz="0" w:space="0" w:color="auto"/>
        <w:bottom w:val="none" w:sz="0" w:space="0" w:color="auto"/>
        <w:right w:val="none" w:sz="0" w:space="0" w:color="auto"/>
      </w:divBdr>
    </w:div>
    <w:div w:id="982662106">
      <w:bodyDiv w:val="1"/>
      <w:marLeft w:val="0"/>
      <w:marRight w:val="0"/>
      <w:marTop w:val="0"/>
      <w:marBottom w:val="0"/>
      <w:divBdr>
        <w:top w:val="none" w:sz="0" w:space="0" w:color="auto"/>
        <w:left w:val="none" w:sz="0" w:space="0" w:color="auto"/>
        <w:bottom w:val="none" w:sz="0" w:space="0" w:color="auto"/>
        <w:right w:val="none" w:sz="0" w:space="0" w:color="auto"/>
      </w:divBdr>
    </w:div>
    <w:div w:id="987249017">
      <w:bodyDiv w:val="1"/>
      <w:marLeft w:val="0"/>
      <w:marRight w:val="0"/>
      <w:marTop w:val="0"/>
      <w:marBottom w:val="0"/>
      <w:divBdr>
        <w:top w:val="none" w:sz="0" w:space="0" w:color="auto"/>
        <w:left w:val="none" w:sz="0" w:space="0" w:color="auto"/>
        <w:bottom w:val="none" w:sz="0" w:space="0" w:color="auto"/>
        <w:right w:val="none" w:sz="0" w:space="0" w:color="auto"/>
      </w:divBdr>
    </w:div>
    <w:div w:id="1000354471">
      <w:bodyDiv w:val="1"/>
      <w:marLeft w:val="0"/>
      <w:marRight w:val="0"/>
      <w:marTop w:val="0"/>
      <w:marBottom w:val="0"/>
      <w:divBdr>
        <w:top w:val="none" w:sz="0" w:space="0" w:color="auto"/>
        <w:left w:val="none" w:sz="0" w:space="0" w:color="auto"/>
        <w:bottom w:val="none" w:sz="0" w:space="0" w:color="auto"/>
        <w:right w:val="none" w:sz="0" w:space="0" w:color="auto"/>
      </w:divBdr>
    </w:div>
    <w:div w:id="1023747904">
      <w:bodyDiv w:val="1"/>
      <w:marLeft w:val="0"/>
      <w:marRight w:val="0"/>
      <w:marTop w:val="0"/>
      <w:marBottom w:val="0"/>
      <w:divBdr>
        <w:top w:val="none" w:sz="0" w:space="0" w:color="auto"/>
        <w:left w:val="none" w:sz="0" w:space="0" w:color="auto"/>
        <w:bottom w:val="none" w:sz="0" w:space="0" w:color="auto"/>
        <w:right w:val="none" w:sz="0" w:space="0" w:color="auto"/>
      </w:divBdr>
    </w:div>
    <w:div w:id="1038160461">
      <w:bodyDiv w:val="1"/>
      <w:marLeft w:val="0"/>
      <w:marRight w:val="0"/>
      <w:marTop w:val="0"/>
      <w:marBottom w:val="0"/>
      <w:divBdr>
        <w:top w:val="none" w:sz="0" w:space="0" w:color="auto"/>
        <w:left w:val="none" w:sz="0" w:space="0" w:color="auto"/>
        <w:bottom w:val="none" w:sz="0" w:space="0" w:color="auto"/>
        <w:right w:val="none" w:sz="0" w:space="0" w:color="auto"/>
      </w:divBdr>
    </w:div>
    <w:div w:id="1096558305">
      <w:bodyDiv w:val="1"/>
      <w:marLeft w:val="0"/>
      <w:marRight w:val="0"/>
      <w:marTop w:val="0"/>
      <w:marBottom w:val="0"/>
      <w:divBdr>
        <w:top w:val="none" w:sz="0" w:space="0" w:color="auto"/>
        <w:left w:val="none" w:sz="0" w:space="0" w:color="auto"/>
        <w:bottom w:val="none" w:sz="0" w:space="0" w:color="auto"/>
        <w:right w:val="none" w:sz="0" w:space="0" w:color="auto"/>
      </w:divBdr>
    </w:div>
    <w:div w:id="1116290896">
      <w:bodyDiv w:val="1"/>
      <w:marLeft w:val="0"/>
      <w:marRight w:val="0"/>
      <w:marTop w:val="0"/>
      <w:marBottom w:val="0"/>
      <w:divBdr>
        <w:top w:val="none" w:sz="0" w:space="0" w:color="auto"/>
        <w:left w:val="none" w:sz="0" w:space="0" w:color="auto"/>
        <w:bottom w:val="none" w:sz="0" w:space="0" w:color="auto"/>
        <w:right w:val="none" w:sz="0" w:space="0" w:color="auto"/>
      </w:divBdr>
    </w:div>
    <w:div w:id="1134833859">
      <w:bodyDiv w:val="1"/>
      <w:marLeft w:val="0"/>
      <w:marRight w:val="0"/>
      <w:marTop w:val="0"/>
      <w:marBottom w:val="0"/>
      <w:divBdr>
        <w:top w:val="none" w:sz="0" w:space="0" w:color="auto"/>
        <w:left w:val="none" w:sz="0" w:space="0" w:color="auto"/>
        <w:bottom w:val="none" w:sz="0" w:space="0" w:color="auto"/>
        <w:right w:val="none" w:sz="0" w:space="0" w:color="auto"/>
      </w:divBdr>
    </w:div>
    <w:div w:id="1215855090">
      <w:bodyDiv w:val="1"/>
      <w:marLeft w:val="0"/>
      <w:marRight w:val="0"/>
      <w:marTop w:val="0"/>
      <w:marBottom w:val="0"/>
      <w:divBdr>
        <w:top w:val="none" w:sz="0" w:space="0" w:color="auto"/>
        <w:left w:val="none" w:sz="0" w:space="0" w:color="auto"/>
        <w:bottom w:val="none" w:sz="0" w:space="0" w:color="auto"/>
        <w:right w:val="none" w:sz="0" w:space="0" w:color="auto"/>
      </w:divBdr>
    </w:div>
    <w:div w:id="1217274966">
      <w:bodyDiv w:val="1"/>
      <w:marLeft w:val="0"/>
      <w:marRight w:val="0"/>
      <w:marTop w:val="0"/>
      <w:marBottom w:val="0"/>
      <w:divBdr>
        <w:top w:val="none" w:sz="0" w:space="0" w:color="auto"/>
        <w:left w:val="none" w:sz="0" w:space="0" w:color="auto"/>
        <w:bottom w:val="none" w:sz="0" w:space="0" w:color="auto"/>
        <w:right w:val="none" w:sz="0" w:space="0" w:color="auto"/>
      </w:divBdr>
    </w:div>
    <w:div w:id="1350524263">
      <w:bodyDiv w:val="1"/>
      <w:marLeft w:val="0"/>
      <w:marRight w:val="0"/>
      <w:marTop w:val="0"/>
      <w:marBottom w:val="0"/>
      <w:divBdr>
        <w:top w:val="none" w:sz="0" w:space="0" w:color="auto"/>
        <w:left w:val="none" w:sz="0" w:space="0" w:color="auto"/>
        <w:bottom w:val="none" w:sz="0" w:space="0" w:color="auto"/>
        <w:right w:val="none" w:sz="0" w:space="0" w:color="auto"/>
      </w:divBdr>
    </w:div>
    <w:div w:id="1429543922">
      <w:bodyDiv w:val="1"/>
      <w:marLeft w:val="0"/>
      <w:marRight w:val="0"/>
      <w:marTop w:val="0"/>
      <w:marBottom w:val="0"/>
      <w:divBdr>
        <w:top w:val="none" w:sz="0" w:space="0" w:color="auto"/>
        <w:left w:val="none" w:sz="0" w:space="0" w:color="auto"/>
        <w:bottom w:val="none" w:sz="0" w:space="0" w:color="auto"/>
        <w:right w:val="none" w:sz="0" w:space="0" w:color="auto"/>
      </w:divBdr>
    </w:div>
    <w:div w:id="1595281607">
      <w:bodyDiv w:val="1"/>
      <w:marLeft w:val="0"/>
      <w:marRight w:val="0"/>
      <w:marTop w:val="0"/>
      <w:marBottom w:val="0"/>
      <w:divBdr>
        <w:top w:val="none" w:sz="0" w:space="0" w:color="auto"/>
        <w:left w:val="none" w:sz="0" w:space="0" w:color="auto"/>
        <w:bottom w:val="none" w:sz="0" w:space="0" w:color="auto"/>
        <w:right w:val="none" w:sz="0" w:space="0" w:color="auto"/>
      </w:divBdr>
    </w:div>
    <w:div w:id="1675650333">
      <w:bodyDiv w:val="1"/>
      <w:marLeft w:val="0"/>
      <w:marRight w:val="0"/>
      <w:marTop w:val="0"/>
      <w:marBottom w:val="0"/>
      <w:divBdr>
        <w:top w:val="none" w:sz="0" w:space="0" w:color="auto"/>
        <w:left w:val="none" w:sz="0" w:space="0" w:color="auto"/>
        <w:bottom w:val="none" w:sz="0" w:space="0" w:color="auto"/>
        <w:right w:val="none" w:sz="0" w:space="0" w:color="auto"/>
      </w:divBdr>
    </w:div>
    <w:div w:id="1704743646">
      <w:bodyDiv w:val="1"/>
      <w:marLeft w:val="0"/>
      <w:marRight w:val="0"/>
      <w:marTop w:val="0"/>
      <w:marBottom w:val="0"/>
      <w:divBdr>
        <w:top w:val="none" w:sz="0" w:space="0" w:color="auto"/>
        <w:left w:val="none" w:sz="0" w:space="0" w:color="auto"/>
        <w:bottom w:val="none" w:sz="0" w:space="0" w:color="auto"/>
        <w:right w:val="none" w:sz="0" w:space="0" w:color="auto"/>
      </w:divBdr>
    </w:div>
    <w:div w:id="1728334565">
      <w:bodyDiv w:val="1"/>
      <w:marLeft w:val="0"/>
      <w:marRight w:val="0"/>
      <w:marTop w:val="0"/>
      <w:marBottom w:val="0"/>
      <w:divBdr>
        <w:top w:val="none" w:sz="0" w:space="0" w:color="auto"/>
        <w:left w:val="none" w:sz="0" w:space="0" w:color="auto"/>
        <w:bottom w:val="none" w:sz="0" w:space="0" w:color="auto"/>
        <w:right w:val="none" w:sz="0" w:space="0" w:color="auto"/>
      </w:divBdr>
    </w:div>
    <w:div w:id="1746688442">
      <w:bodyDiv w:val="1"/>
      <w:marLeft w:val="0"/>
      <w:marRight w:val="0"/>
      <w:marTop w:val="0"/>
      <w:marBottom w:val="0"/>
      <w:divBdr>
        <w:top w:val="none" w:sz="0" w:space="0" w:color="auto"/>
        <w:left w:val="none" w:sz="0" w:space="0" w:color="auto"/>
        <w:bottom w:val="none" w:sz="0" w:space="0" w:color="auto"/>
        <w:right w:val="none" w:sz="0" w:space="0" w:color="auto"/>
      </w:divBdr>
    </w:div>
    <w:div w:id="1763212924">
      <w:bodyDiv w:val="1"/>
      <w:marLeft w:val="0"/>
      <w:marRight w:val="0"/>
      <w:marTop w:val="0"/>
      <w:marBottom w:val="0"/>
      <w:divBdr>
        <w:top w:val="none" w:sz="0" w:space="0" w:color="auto"/>
        <w:left w:val="none" w:sz="0" w:space="0" w:color="auto"/>
        <w:bottom w:val="none" w:sz="0" w:space="0" w:color="auto"/>
        <w:right w:val="none" w:sz="0" w:space="0" w:color="auto"/>
      </w:divBdr>
    </w:div>
    <w:div w:id="1870678281">
      <w:bodyDiv w:val="1"/>
      <w:marLeft w:val="0"/>
      <w:marRight w:val="0"/>
      <w:marTop w:val="0"/>
      <w:marBottom w:val="0"/>
      <w:divBdr>
        <w:top w:val="none" w:sz="0" w:space="0" w:color="auto"/>
        <w:left w:val="none" w:sz="0" w:space="0" w:color="auto"/>
        <w:bottom w:val="none" w:sz="0" w:space="0" w:color="auto"/>
        <w:right w:val="none" w:sz="0" w:space="0" w:color="auto"/>
      </w:divBdr>
    </w:div>
    <w:div w:id="1887568097">
      <w:bodyDiv w:val="1"/>
      <w:marLeft w:val="0"/>
      <w:marRight w:val="0"/>
      <w:marTop w:val="0"/>
      <w:marBottom w:val="0"/>
      <w:divBdr>
        <w:top w:val="none" w:sz="0" w:space="0" w:color="auto"/>
        <w:left w:val="none" w:sz="0" w:space="0" w:color="auto"/>
        <w:bottom w:val="none" w:sz="0" w:space="0" w:color="auto"/>
        <w:right w:val="none" w:sz="0" w:space="0" w:color="auto"/>
      </w:divBdr>
    </w:div>
    <w:div w:id="1910920785">
      <w:bodyDiv w:val="1"/>
      <w:marLeft w:val="0"/>
      <w:marRight w:val="0"/>
      <w:marTop w:val="0"/>
      <w:marBottom w:val="0"/>
      <w:divBdr>
        <w:top w:val="none" w:sz="0" w:space="0" w:color="auto"/>
        <w:left w:val="none" w:sz="0" w:space="0" w:color="auto"/>
        <w:bottom w:val="none" w:sz="0" w:space="0" w:color="auto"/>
        <w:right w:val="none" w:sz="0" w:space="0" w:color="auto"/>
      </w:divBdr>
    </w:div>
    <w:div w:id="1974289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8E578D-4E27-435D-A52C-0977CA29C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6</Pages>
  <Words>1475</Words>
  <Characters>8638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PSRAI</Company>
  <LinksUpToDate>false</LinksUpToDate>
  <CharactersWithSpaces>10093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Methodology</dc:subject>
  <dc:creator>Julie Gasior</dc:creator>
  <cp:keywords/>
  <cp:lastModifiedBy>Jonathan Best</cp:lastModifiedBy>
  <cp:revision>4</cp:revision>
  <cp:lastPrinted>2010-08-09T17:35:00Z</cp:lastPrinted>
  <dcterms:created xsi:type="dcterms:W3CDTF">2010-08-09T15:21:00Z</dcterms:created>
  <dcterms:modified xsi:type="dcterms:W3CDTF">2010-08-09T17:37:00Z</dcterms:modified>
</cp:coreProperties>
</file>