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B73"/>
        </w:rPr>
        <w:t>Speech 4 - Shafi Mahadi Nowrose (2121620643)</w:t>
      </w:r>
    </w:p>
    <w:p>
      <w:pPr>
        <w:jc w:val="center"/>
      </w:pPr>
      <w:r>
        <w:rPr>
          <w:i/>
          <w:color w:val="555555"/>
          <w:sz w:val="26"/>
        </w:rPr>
        <w:t>Slides 7 &amp; 8 - Results and Closing</w:t>
      </w:r>
    </w:p>
    <w:p>
      <w:r>
        <w:t>Estimated speaking time: ~1.5 minutes</w:t>
      </w:r>
    </w:p>
    <w:p/>
    <w:p>
      <w:pPr>
        <w:spacing w:after="200" w:line="276" w:lineRule="auto"/>
      </w:pPr>
      <w:r>
        <w:rPr>
          <w:sz w:val="24"/>
        </w:rPr>
        <w:t>Thanks, Shreysee. Now our results. In 1,000 random playthroughs, the endings landed at: Throne of Mirrors, 24.7 percent; Burden of Truth, 26.1 percent; Martyr's Legacy, 25.3 percent; and Hollow Survivor, 23.9 percent. Each is roughly twenty-five percent.</w:t>
      </w:r>
    </w:p>
    <w:p>
      <w:pPr>
        <w:spacing w:after="200" w:line="276" w:lineRule="auto"/>
      </w:pPr>
      <w:r>
        <w:rPr>
          <w:sz w:val="24"/>
        </w:rPr>
        <w:t>That is exactly what we wanted, because it proves outcomes are genuinely driven by player decisions, not by structural bias. A biased system would have shown a lopsided distribution. Instead, every ending is equally reachable, and the player's accumulated choices decide which one they get.</w:t>
      </w:r>
    </w:p>
    <w:p>
      <w:pPr>
        <w:spacing w:after="200" w:line="276" w:lineRule="auto"/>
      </w:pPr>
      <w:r>
        <w:rPr>
          <w:sz w:val="24"/>
        </w:rPr>
        <w:t>Our key numbers: the engine converges in 3 to 5 iterations, one inference cycle takes about 15 milliseconds, and the game has 20 story nodes, 4 endings, 8 characters with 3 expressions each, and 43 total backgrounds and portraits. Together, these show Aethelgard achieves real scale, adaptive outcomes, and genuine replayability while staying fast and explainable.</w:t>
      </w:r>
    </w:p>
    <w:p>
      <w:pPr>
        <w:spacing w:after="200" w:line="276" w:lineRule="auto"/>
      </w:pPr>
      <w:r>
        <w:rPr>
          <w:sz w:val="24"/>
        </w:rPr>
        <w:t>Thank you for listening. This was a team effort by Soomaiya Chowdhury, Mahmudur Rahman Labib, Shreysee Moni Shashy, and myself, Shafi Mahadi Nowrose, Group 9, CSE440 Section 1. That concludes our presentation. We will now show a quick gameplay demo and walk through the code from our GitHub. We welcome your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