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right"/>
        <w:bidi/>
      </w:pPr>
      <w:r>
        <w:rPr>
          <w:rFonts w:ascii="Arial" w:hAnsi="Arial" w:cs="Arial"/>
          <w:b/>
          <w:i w:val="0"/>
          <w:color w:val="C9A227"/>
          <w:sz w:val="20"/>
        </w:rPr>
        <w:t>تقرير التحقق الفني</w:t>
      </w:r>
    </w:p>
    <w:p>
      <w:pPr>
        <w:spacing w:before="0" w:after="80" w:line="264" w:lineRule="auto"/>
        <w:jc w:val="right"/>
        <w:bidi/>
      </w:pPr>
      <w:r>
        <w:rPr>
          <w:rFonts w:ascii="Arial" w:hAnsi="Arial" w:cs="Arial"/>
          <w:b/>
          <w:i w:val="0"/>
          <w:color w:val="1F4D78"/>
          <w:sz w:val="48"/>
        </w:rPr>
        <w:t>نظام الكافيه والمخزون</w:t>
      </w:r>
    </w:p>
    <w:p>
      <w:pPr>
        <w:spacing w:before="0" w:after="320" w:line="264" w:lineRule="auto"/>
        <w:jc w:val="right"/>
        <w:bidi/>
      </w:pPr>
      <w:r>
        <w:rPr>
          <w:rFonts w:ascii="Arial" w:hAnsi="Arial" w:cs="Arial"/>
          <w:b w:val="0"/>
          <w:i w:val="0"/>
          <w:color w:val="666666"/>
          <w:sz w:val="26"/>
        </w:rPr>
        <w:t>مشروع ONE80 — تحقق وظيفي وربط مالي ومخزني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20"/>
              </w:rPr>
              <w:t>تاريخ الاختبار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18 يوليو 2026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20"/>
              </w:rPr>
              <w:t>قاعدة البيانات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one80_hr المنفصلة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20"/>
              </w:rPr>
              <w:t>نطاق الاختبار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13 شاشة من دورة الكافيه</w:t>
            </w:r>
          </w:p>
        </w:tc>
      </w:tr>
      <w:tr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20"/>
              </w:rPr>
              <w:t>حالة البناء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20"/>
              </w:rPr>
              <w:t>Frontend وBackend ناجحان</w:t>
            </w:r>
          </w:p>
        </w:tc>
      </w:tr>
    </w:tbl>
    <w:p>
      <w:pPr>
        <w:pStyle w:val="Heading1"/>
        <w:spacing w:before="320" w:after="160" w:line="264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2"/>
        </w:rPr>
        <w:t>النتيجة التنفيذية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AF4EF"/>
          </w:tcPr>
          <w:p>
            <w:pPr>
              <w:spacing w:before="0" w:after="40" w:line="264" w:lineRule="auto"/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B7F5A"/>
                <w:sz w:val="22"/>
              </w:rPr>
              <w:t xml:space="preserve">النتيجة — </w:t>
            </w:r>
            <w:r>
              <w:rPr>
                <w:rFonts w:ascii="Arial" w:hAnsi="Arial" w:cs="Arial"/>
                <w:b w:val="0"/>
                <w:i w:val="0"/>
                <w:color w:val="20352D"/>
                <w:sz w:val="21"/>
              </w:rPr>
              <w:t>النظام مترابط ويعمل من المورد والمشتريات إلى المخزون والمديونية والجرد والحركات والتقارير.</w:t>
            </w:r>
          </w:p>
        </w:tc>
      </w:tr>
    </w:tbl>
    <w:p>
      <w:pPr>
        <w:spacing w:after="20"/>
      </w:pPr>
    </w:p>
    <w:p>
      <w:pPr>
        <w:spacing w:before="0" w:after="8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Migrations: </w:t>
      </w:r>
      <w:r>
        <w:rPr>
          <w:rFonts w:ascii="Arial" w:hAnsi="Arial" w:cs="Arial"/>
          <w:b w:val="0"/>
          <w:i w:val="0"/>
          <w:color w:val="000000"/>
          <w:sz w:val="22"/>
        </w:rPr>
        <w:t>تم تطبيق 27 migration ولا توجد migrations معلّقة.</w:t>
      </w:r>
    </w:p>
    <w:p>
      <w:pPr>
        <w:spacing w:before="0" w:after="8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Production Build: </w:t>
      </w:r>
      <w:r>
        <w:rPr>
          <w:rFonts w:ascii="Arial" w:hAnsi="Arial" w:cs="Arial"/>
          <w:b w:val="0"/>
          <w:i w:val="0"/>
          <w:color w:val="000000"/>
          <w:sz w:val="22"/>
        </w:rPr>
        <w:t>نجح بناء الواجهة الأمامية والـ backend.</w:t>
      </w:r>
    </w:p>
    <w:p>
      <w:pPr>
        <w:spacing w:before="0" w:after="8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سلامة البيانات: </w:t>
      </w:r>
      <w:r>
        <w:rPr>
          <w:rFonts w:ascii="Arial" w:hAnsi="Arial" w:cs="Arial"/>
          <w:b w:val="0"/>
          <w:i w:val="0"/>
          <w:color w:val="000000"/>
          <w:sz w:val="22"/>
        </w:rPr>
        <w:t>لم يتم لمس بيانات الأعضاء أو الاشتراكات، ولم تتغير هوية ONE80.</w:t>
      </w:r>
    </w:p>
    <w:p>
      <w:pPr>
        <w:spacing w:before="0" w:after="8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أخطاء التشغيل: </w:t>
      </w:r>
      <w:r>
        <w:rPr>
          <w:rFonts w:ascii="Arial" w:hAnsi="Arial" w:cs="Arial"/>
          <w:b w:val="0"/>
          <w:i w:val="0"/>
          <w:color w:val="000000"/>
          <w:sz w:val="22"/>
        </w:rPr>
        <w:t>لم يظهر خطأ قاعدة بيانات، وسجل Console خالٍ من الأخطاء والتحذيرات أثناء الاختبار.</w:t>
      </w:r>
    </w:p>
    <w:p>
      <w:pPr>
        <w:spacing w:before="0" w:after="8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اختبار فعلي: </w:t>
      </w:r>
      <w:r>
        <w:rPr>
          <w:rFonts w:ascii="Arial" w:hAnsi="Arial" w:cs="Arial"/>
          <w:b w:val="0"/>
          <w:i w:val="0"/>
          <w:color w:val="000000"/>
          <w:sz w:val="22"/>
        </w:rPr>
        <w:t>فاتورة شراء 100 ج.م ومدفوع 40 ج.م رفعت المخزون وسجلت مديونية 60 ج.م؛ ثم سداد 20 ج.م خفّض المتبقي إلى 40 ج.م.</w:t>
      </w:r>
    </w:p>
    <w:p>
      <w:r>
        <w:br w:type="page"/>
      </w:r>
    </w:p>
    <w:p>
      <w:pPr>
        <w:pStyle w:val="Heading1"/>
        <w:spacing w:before="320" w:after="160" w:line="264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2"/>
        </w:rPr>
        <w:t>نتائج الصفحات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760"/>
        <w:gridCol w:w="1500"/>
      </w:tblGrid>
      <w:tr>
        <w:trPr>
          <w:tblHeader w:val="true"/>
        </w:trPr>
        <w:tc>
          <w:tcPr>
            <w:tcW w:type="dxa" w:w="2100"/>
            <w:shd w:fill="2E74B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الصفحة</w:t>
            </w:r>
          </w:p>
        </w:tc>
        <w:tc>
          <w:tcPr>
            <w:tcW w:type="dxa" w:w="5760"/>
            <w:shd w:fill="2E74B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ما تم التحقق منه</w:t>
            </w:r>
          </w:p>
        </w:tc>
        <w:tc>
          <w:tcPr>
            <w:tcW w:type="dxa" w:w="1500"/>
            <w:shd w:fill="2E74B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النتيجة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8"/>
              </w:rPr>
              <w:t>فئات الكافيه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تنظيم تبويبات نقطة البيع والتقارير دون تصنيف الخامات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1B7F5A"/>
                <w:sz w:val="18"/>
              </w:rPr>
              <w:t>ناجح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8"/>
              </w:rPr>
              <w:t>خامات الكافيه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تنبيه كمية، متوسط تكلفة، ووحدات oz وfl oz بدون سعر بيع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1B7F5A"/>
                <w:sz w:val="18"/>
              </w:rPr>
              <w:t>ناجح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8"/>
              </w:rPr>
              <w:t>منتجات الكافيه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صورة ووصفة وتكلفة وربح وثلاثة أنواع للمنتجات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1B7F5A"/>
                <w:sz w:val="18"/>
              </w:rPr>
              <w:t>ناجح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8"/>
              </w:rPr>
              <w:t>قائمة الأسعار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تعديل سعر المنتجات القابلة للبيع وانعكاسه في نقطة البيع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1B7F5A"/>
                <w:sz w:val="18"/>
              </w:rPr>
              <w:t>ناجح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8"/>
              </w:rPr>
              <w:t>الموردون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إنشاء مورد وربطه بالخامات التي يوفرها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1B7F5A"/>
                <w:sz w:val="18"/>
              </w:rPr>
              <w:t>ناجح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8"/>
              </w:rPr>
              <w:t>المشتريات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فلترة الخامات وحساب سعر الوحدة والمدفوع والمتبقي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1B7F5A"/>
                <w:sz w:val="18"/>
              </w:rPr>
              <w:t>ناجح فعليًا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8"/>
              </w:rPr>
              <w:t>مديونية الموردين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تحديث المديونية وآخر سداد وتوزيع الدفعة على الأقدم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1B7F5A"/>
                <w:sz w:val="18"/>
              </w:rPr>
              <w:t>ناجح فعليًا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8"/>
              </w:rPr>
              <w:t>إيصال بيع جديد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عميل/موظف/شريك وسلة ودفع بدون ورديات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1B7F5A"/>
                <w:sz w:val="18"/>
              </w:rPr>
              <w:t>ناجح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8"/>
              </w:rPr>
              <w:t>الجرد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بداية اليوم والوارد والمنصرف والاستهلاك والإغلاق والموجود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1B7F5A"/>
                <w:sz w:val="18"/>
              </w:rPr>
              <w:t>ناجح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8"/>
              </w:rPr>
              <w:t>سجل الحركات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المصدر والمستند والمستخدم والرصيد بعد الحركة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1B7F5A"/>
                <w:sz w:val="18"/>
              </w:rPr>
              <w:t>ناجح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8"/>
              </w:rPr>
              <w:t>لوحة المخزون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القيمة والمنخفض والوارد والمنصرف والحركات والتحليلات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1B7F5A"/>
                <w:sz w:val="18"/>
              </w:rPr>
              <w:t>ناجح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8"/>
              </w:rPr>
              <w:t>صرف داخل الجيم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تحويل مخزون بدون معاملة مالية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1B7F5A"/>
                <w:sz w:val="18"/>
              </w:rPr>
              <w:t>ناجح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8"/>
              </w:rPr>
              <w:t>تقارير الكافيه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8"/>
              </w:rPr>
              <w:t>مبيعات وربح ومشتريات ومديونية وأنواع البيع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1B7F5A"/>
                <w:sz w:val="18"/>
              </w:rPr>
              <w:t>ناجح</w:t>
            </w:r>
          </w:p>
        </w:tc>
      </w:tr>
    </w:tbl>
    <w:p>
      <w:r>
        <w:br w:type="page"/>
      </w:r>
    </w:p>
    <w:p>
      <w:pPr>
        <w:pStyle w:val="Heading1"/>
        <w:spacing w:before="320" w:after="160" w:line="264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2"/>
        </w:rPr>
        <w:t>التحقق من قواعد العمل</w:t>
      </w:r>
    </w:p>
    <w:p>
      <w:pPr>
        <w:spacing w:before="0" w:after="10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الخامات: </w:t>
      </w:r>
      <w:r>
        <w:rPr>
          <w:rFonts w:ascii="Arial" w:hAnsi="Arial" w:cs="Arial"/>
          <w:b w:val="0"/>
          <w:i w:val="0"/>
          <w:color w:val="000000"/>
          <w:sz w:val="22"/>
        </w:rPr>
        <w:t>لا يوجد سعر بيع؛ متوسط التكلفة يتغير من المشتريات والحركات فقط.</w:t>
      </w:r>
    </w:p>
    <w:p>
      <w:pPr>
        <w:spacing w:before="0" w:after="10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تنبيه الكمية: </w:t>
      </w:r>
      <w:r>
        <w:rPr>
          <w:rFonts w:ascii="Arial" w:hAnsi="Arial" w:cs="Arial"/>
          <w:b w:val="0"/>
          <w:i w:val="0"/>
          <w:color w:val="000000"/>
          <w:sz w:val="22"/>
        </w:rPr>
        <w:t>قابل للتعديل ويظهر عند وصول الرصيد للحد المحدد أو أقل.</w:t>
      </w:r>
    </w:p>
    <w:p>
      <w:pPr>
        <w:spacing w:before="0" w:after="10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الأونصة: </w:t>
      </w:r>
      <w:r>
        <w:rPr>
          <w:rFonts w:ascii="Arial" w:hAnsi="Arial" w:cs="Arial"/>
          <w:b w:val="0"/>
          <w:i w:val="0"/>
          <w:color w:val="000000"/>
          <w:sz w:val="22"/>
        </w:rPr>
        <w:t>وحدتا oz وfl oz متاحتان في نموذج الخامة.</w:t>
      </w:r>
    </w:p>
    <w:p>
      <w:pPr>
        <w:spacing w:before="0" w:after="10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أنواع المنتجات: </w:t>
      </w:r>
      <w:r>
        <w:rPr>
          <w:rFonts w:ascii="Arial" w:hAnsi="Arial" w:cs="Arial"/>
          <w:b w:val="0"/>
          <w:i w:val="0"/>
          <w:color w:val="000000"/>
          <w:sz w:val="22"/>
        </w:rPr>
        <w:t>محضّر للبيع، تصنيع داخلي، ومنتج جاهز؛ الداخلي لا يظهر في نقطة البيع.</w:t>
      </w:r>
    </w:p>
    <w:p>
      <w:pPr>
        <w:spacing w:before="0" w:after="10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الوصفة: </w:t>
      </w:r>
      <w:r>
        <w:rPr>
          <w:rFonts w:ascii="Arial" w:hAnsi="Arial" w:cs="Arial"/>
          <w:b w:val="0"/>
          <w:i w:val="0"/>
          <w:color w:val="000000"/>
          <w:sz w:val="22"/>
        </w:rPr>
        <w:t>تقبل مكونًا موجودًا أو إنشاء خامة جديدة، مع حساب التكلفة والربح تلقائيًا.</w:t>
      </w:r>
    </w:p>
    <w:p>
      <w:pPr>
        <w:spacing w:before="0" w:after="10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المشتريات: </w:t>
      </w:r>
      <w:r>
        <w:rPr>
          <w:rFonts w:ascii="Arial" w:hAnsi="Arial" w:cs="Arial"/>
          <w:b w:val="0"/>
          <w:i w:val="0"/>
          <w:color w:val="000000"/>
          <w:sz w:val="22"/>
        </w:rPr>
        <w:t>فلترة خامات المورد وحساب سعر الوحدة من قيمة الدفعة ÷ الكمية.</w:t>
      </w:r>
    </w:p>
    <w:p>
      <w:pPr>
        <w:spacing w:before="0" w:after="10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المخزون: </w:t>
      </w:r>
      <w:r>
        <w:rPr>
          <w:rFonts w:ascii="Arial" w:hAnsi="Arial" w:cs="Arial"/>
          <w:b w:val="0"/>
          <w:i w:val="0"/>
          <w:color w:val="000000"/>
          <w:sz w:val="22"/>
        </w:rPr>
        <w:t>فاتورة الاختبار رفعت الرصيد من 0 إلى 10 أونصات وسجلت حركة.</w:t>
      </w:r>
    </w:p>
    <w:p>
      <w:pPr>
        <w:spacing w:before="0" w:after="10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المديونية: </w:t>
      </w:r>
      <w:r>
        <w:rPr>
          <w:rFonts w:ascii="Arial" w:hAnsi="Arial" w:cs="Arial"/>
          <w:b w:val="0"/>
          <w:i w:val="0"/>
          <w:color w:val="000000"/>
          <w:sz w:val="22"/>
        </w:rPr>
        <w:t>100 إجمالي، 40 مدفوع، 60 متبقي؛ وبعد سداد 20 أصبح المتبقي 40.</w:t>
      </w:r>
    </w:p>
    <w:p>
      <w:pPr>
        <w:spacing w:before="0" w:after="10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الوردية: </w:t>
      </w:r>
      <w:r>
        <w:rPr>
          <w:rFonts w:ascii="Arial" w:hAnsi="Arial" w:cs="Arial"/>
          <w:b w:val="0"/>
          <w:i w:val="0"/>
          <w:color w:val="000000"/>
          <w:sz w:val="22"/>
        </w:rPr>
        <w:t>لا يوجد اعتماد على الوردية؛ البيع مسجل باسم المستخدم الحالي.</w:t>
      </w:r>
    </w:p>
    <w:p>
      <w:pPr>
        <w:spacing w:before="0" w:after="10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التقارير: </w:t>
      </w:r>
      <w:r>
        <w:rPr>
          <w:rFonts w:ascii="Arial" w:hAnsi="Arial" w:cs="Arial"/>
          <w:b w:val="0"/>
          <w:i w:val="0"/>
          <w:color w:val="000000"/>
          <w:sz w:val="22"/>
        </w:rPr>
        <w:t>الشراء انعكس في لوحة المخزون والجرد والحركات وتقارير الكافيه.</w:t>
      </w:r>
    </w:p>
    <w:p>
      <w:pPr>
        <w:pStyle w:val="Heading2"/>
        <w:spacing w:before="240" w:after="120" w:line="264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26"/>
        </w:rPr>
        <w:t>بيانات الاختبار المحلية</w:t>
      </w:r>
    </w:p>
    <w:p>
      <w:pPr>
        <w:spacing w:before="0" w:after="12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  <w:t>جميع السجلات المستخدمة تحمل البادئة E2E-CAFE حتى يمكن تمييزها وحذفها من قاعدة ONE80 المحلية فقط.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2E74B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العنصر</w:t>
            </w:r>
          </w:p>
        </w:tc>
        <w:tc>
          <w:tcPr>
            <w:tcW w:type="dxa" w:w="6860"/>
            <w:shd w:fill="2E74B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  <w:bidi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9"/>
              </w:rPr>
              <w:t>القيمة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9"/>
              </w:rPr>
              <w:t>الفئة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9"/>
              </w:rPr>
              <w:t>E2E-CAFE مشروبات اختبار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9"/>
              </w:rPr>
              <w:t>الخامة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9"/>
              </w:rPr>
              <w:t>E2E-CAFE كاكاو أونصة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9"/>
              </w:rPr>
              <w:t>المورد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9"/>
              </w:rPr>
              <w:t>E2E-CAFE مورد الاختبار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9"/>
              </w:rPr>
              <w:t>المستودع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9"/>
              </w:rPr>
              <w:t>E2E مخزن اختبار الكافيه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/>
                <w:i w:val="0"/>
                <w:color w:val="1F4D78"/>
                <w:sz w:val="19"/>
              </w:rPr>
              <w:t>فاتورة الشراء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right"/>
              <w:bidi/>
            </w:pPr>
            <w:r/>
            <w:r>
              <w:rPr>
                <w:rFonts w:ascii="Arial" w:hAnsi="Arial" w:cs="Arial"/>
                <w:b w:val="0"/>
                <w:i w:val="0"/>
                <w:color w:val="000000"/>
                <w:sz w:val="19"/>
              </w:rPr>
              <w:t>SINV-000001</w:t>
            </w:r>
          </w:p>
        </w:tc>
      </w:tr>
    </w:tbl>
    <w:p>
      <w:r>
        <w:br w:type="page"/>
      </w:r>
    </w:p>
    <w:p>
      <w:pPr>
        <w:pStyle w:val="Heading1"/>
        <w:spacing w:before="320" w:after="160" w:line="264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2"/>
        </w:rPr>
        <w:t>أدلة الواجهات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afe-catego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  <w:bidi/>
      </w:pPr>
      <w:r>
        <w:rPr>
          <w:rFonts w:ascii="Arial" w:hAnsi="Arial" w:cs="Arial"/>
          <w:b w:val="0"/>
          <w:i/>
          <w:color w:val="666666"/>
          <w:sz w:val="18"/>
        </w:rPr>
        <w:t>الشكل 1 — فئات الكافيه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raw-material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  <w:bidi/>
      </w:pPr>
      <w:r>
        <w:rPr>
          <w:rFonts w:ascii="Arial" w:hAnsi="Arial" w:cs="Arial"/>
          <w:b w:val="0"/>
          <w:i/>
          <w:color w:val="666666"/>
          <w:sz w:val="18"/>
        </w:rPr>
        <w:t>الشكل 2 — نموذج الخامة ووحدات الأونصة وتنبيه الكمية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-product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  <w:bidi/>
      </w:pPr>
      <w:r>
        <w:rPr>
          <w:rFonts w:ascii="Arial" w:hAnsi="Arial" w:cs="Arial"/>
          <w:b w:val="0"/>
          <w:i/>
          <w:color w:val="666666"/>
          <w:sz w:val="18"/>
        </w:rPr>
        <w:t>الشكل 3 — نموذج المنتج والصورة والوصفة والتكلفة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-purchase-filtered-mater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  <w:bidi/>
      </w:pPr>
      <w:r>
        <w:rPr>
          <w:rFonts w:ascii="Arial" w:hAnsi="Arial" w:cs="Arial"/>
          <w:b w:val="0"/>
          <w:i/>
          <w:color w:val="666666"/>
          <w:sz w:val="18"/>
        </w:rPr>
        <w:t>الشكل 4 — فلترة خامات المورد في فاتورة الشراء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c-purchase-cre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  <w:bidi/>
      </w:pPr>
      <w:r>
        <w:rPr>
          <w:rFonts w:ascii="Arial" w:hAnsi="Arial" w:cs="Arial"/>
          <w:b w:val="0"/>
          <w:i/>
          <w:color w:val="666666"/>
          <w:sz w:val="18"/>
        </w:rPr>
        <w:t>الشكل 5 — فاتورة الشراء بعد الحفظ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c-supplier-payment-cre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  <w:bidi/>
      </w:pPr>
      <w:r>
        <w:rPr>
          <w:rFonts w:ascii="Arial" w:hAnsi="Arial" w:cs="Arial"/>
          <w:b w:val="0"/>
          <w:i/>
          <w:color w:val="666666"/>
          <w:sz w:val="18"/>
        </w:rPr>
        <w:t>الشكل 6 — المديونية بعد تسجيل دفعة المورد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  <w:bidi/>
      </w:pPr>
      <w:r>
        <w:rPr>
          <w:rFonts w:ascii="Arial" w:hAnsi="Arial" w:cs="Arial"/>
          <w:b w:val="0"/>
          <w:i/>
          <w:color w:val="666666"/>
          <w:sz w:val="18"/>
        </w:rPr>
        <w:t>الشكل 7 — شاشة إيصال بيع جديد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-stock-after-purch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  <w:bidi/>
      </w:pPr>
      <w:r>
        <w:rPr>
          <w:rFonts w:ascii="Arial" w:hAnsi="Arial" w:cs="Arial"/>
          <w:b w:val="0"/>
          <w:i/>
          <w:color w:val="666666"/>
          <w:sz w:val="18"/>
        </w:rPr>
        <w:t>الشكل 8 — متابعة مخزون اليوم بعد الشراء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-movement-after-purcha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  <w:bidi/>
      </w:pPr>
      <w:r>
        <w:rPr>
          <w:rFonts w:ascii="Arial" w:hAnsi="Arial" w:cs="Arial"/>
          <w:b w:val="0"/>
          <w:i/>
          <w:color w:val="666666"/>
          <w:sz w:val="18"/>
        </w:rPr>
        <w:t>الشكل 9 — سجل الحركة والمستخدم المنفذ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b-dashboard-after-purcha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  <w:bidi/>
      </w:pPr>
      <w:r>
        <w:rPr>
          <w:rFonts w:ascii="Arial" w:hAnsi="Arial" w:cs="Arial"/>
          <w:b w:val="0"/>
          <w:i/>
          <w:color w:val="666666"/>
          <w:sz w:val="18"/>
        </w:rPr>
        <w:t>الشكل 10 — لوحة المخزون بعد الشراء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gym-iss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  <w:bidi/>
      </w:pPr>
      <w:r>
        <w:rPr>
          <w:rFonts w:ascii="Arial" w:hAnsi="Arial" w:cs="Arial"/>
          <w:b w:val="0"/>
          <w:i/>
          <w:color w:val="666666"/>
          <w:sz w:val="18"/>
        </w:rPr>
        <w:t>الشكل 11 — صرف مخزون داخل الجيم بدون معاملة مالية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b-reports-after-purcha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  <w:bidi/>
      </w:pPr>
      <w:r>
        <w:rPr>
          <w:rFonts w:ascii="Arial" w:hAnsi="Arial" w:cs="Arial"/>
          <w:b w:val="0"/>
          <w:i/>
          <w:color w:val="666666"/>
          <w:sz w:val="18"/>
        </w:rPr>
        <w:t>الشكل 12 — تقارير الكافيه بعد الشراء</w:t>
      </w:r>
    </w:p>
    <w:p>
      <w:r>
        <w:br w:type="page"/>
      </w:r>
    </w:p>
    <w:p>
      <w:pPr>
        <w:pStyle w:val="Heading1"/>
        <w:spacing w:before="320" w:after="160" w:line="264" w:lineRule="auto"/>
        <w:jc w:val="right"/>
        <w:bidi/>
      </w:pPr>
      <w:r>
        <w:rPr>
          <w:rFonts w:ascii="Arial" w:hAnsi="Arial" w:cs="Arial"/>
          <w:b/>
          <w:i w:val="0"/>
          <w:color w:val="2E74B5"/>
          <w:sz w:val="32"/>
        </w:rPr>
        <w:t>قائمة النشر الآمن</w:t>
      </w:r>
    </w:p>
    <w:p>
      <w:pPr>
        <w:spacing w:before="0" w:after="12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Migration: </w:t>
      </w:r>
      <w:r>
        <w:rPr>
          <w:rFonts w:ascii="Arial" w:hAnsi="Arial" w:cs="Arial"/>
          <w:b w:val="0"/>
          <w:i w:val="0"/>
          <w:color w:val="000000"/>
          <w:sz w:val="22"/>
        </w:rPr>
        <w:t>تشغيل npx prisma migrate deploy على قاعدة ONE80 قبل تشغيل النسخة الجديدة.</w:t>
      </w:r>
    </w:p>
    <w:p>
      <w:pPr>
        <w:spacing w:before="0" w:after="12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المستودعات: </w:t>
      </w:r>
      <w:r>
        <w:rPr>
          <w:rFonts w:ascii="Arial" w:hAnsi="Arial" w:cs="Arial"/>
          <w:b w:val="0"/>
          <w:i w:val="0"/>
          <w:color w:val="000000"/>
          <w:sz w:val="22"/>
        </w:rPr>
        <w:t>التأكد من وجود مستودع رئيسي واحد على الأقل لكل فرع.</w:t>
      </w:r>
    </w:p>
    <w:p>
      <w:pPr>
        <w:spacing w:before="0" w:after="12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الصور: </w:t>
      </w:r>
      <w:r>
        <w:rPr>
          <w:rFonts w:ascii="Arial" w:hAnsi="Arial" w:cs="Arial"/>
          <w:b w:val="0"/>
          <w:i w:val="0"/>
          <w:color w:val="000000"/>
          <w:sz w:val="22"/>
        </w:rPr>
        <w:t>حفظ uploads في persistent storage وعدم استبدالها أثناء النشر.</w:t>
      </w:r>
    </w:p>
    <w:p>
      <w:pPr>
        <w:spacing w:before="0" w:after="12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قاعدة البيانات: </w:t>
      </w:r>
      <w:r>
        <w:rPr>
          <w:rFonts w:ascii="Arial" w:hAnsi="Arial" w:cs="Arial"/>
          <w:b w:val="0"/>
          <w:i w:val="0"/>
          <w:color w:val="000000"/>
          <w:sz w:val="22"/>
        </w:rPr>
        <w:t>عدم تشغيل seed أو reset على السيرفر.</w:t>
      </w:r>
    </w:p>
    <w:p>
      <w:pPr>
        <w:spacing w:before="0" w:after="120" w:line="264" w:lineRule="auto"/>
        <w:jc w:val="right"/>
        <w:bidi/>
      </w:pPr>
      <w:r>
        <w:rPr>
          <w:rFonts w:ascii="Arial" w:hAnsi="Arial" w:cs="Arial"/>
          <w:b w:val="0"/>
          <w:i w:val="0"/>
          <w:color w:val="000000"/>
          <w:sz w:val="22"/>
        </w:rPr>
      </w:r>
      <w:r>
        <w:rPr>
          <w:rFonts w:ascii="Arial" w:hAnsi="Arial" w:cs="Arial"/>
          <w:b/>
          <w:i w:val="0"/>
          <w:color w:val="1F4D78"/>
          <w:sz w:val="22"/>
        </w:rPr>
        <w:t xml:space="preserve">النسخ الاحتياطي: </w:t>
      </w:r>
      <w:r>
        <w:rPr>
          <w:rFonts w:ascii="Arial" w:hAnsi="Arial" w:cs="Arial"/>
          <w:b w:val="0"/>
          <w:i w:val="0"/>
          <w:color w:val="000000"/>
          <w:sz w:val="22"/>
        </w:rPr>
        <w:t>أخذ نسخة من قاعدة البيانات ومجلد الصور قبل أول نشر.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AF4EF"/>
          </w:tcPr>
          <w:p>
            <w:pPr>
              <w:spacing w:before="0" w:after="40" w:line="264" w:lineRule="auto"/>
              <w:jc w:val="right"/>
              <w:bidi/>
            </w:pPr>
            <w:r>
              <w:rPr>
                <w:rFonts w:ascii="Arial" w:hAnsi="Arial" w:cs="Arial"/>
                <w:b/>
                <w:i w:val="0"/>
                <w:color w:val="1B7F5A"/>
                <w:sz w:val="22"/>
              </w:rPr>
              <w:t xml:space="preserve">الحكم النهائي — </w:t>
            </w:r>
            <w:r>
              <w:rPr>
                <w:rFonts w:ascii="Arial" w:hAnsi="Arial" w:cs="Arial"/>
                <w:b w:val="0"/>
                <w:i w:val="0"/>
                <w:color w:val="20352D"/>
                <w:sz w:val="21"/>
              </w:rPr>
              <w:t>الدورة الأساسية للكافيه في ONE80 مترابطة، والصفحات المطلوبة تعمل دون أخطاء قاعدة بيانات، وعمليات الشراء والمخزون والمديونية والسداد انعكست في السجلات والتقارير كما هو مطلوب.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i w:val="0"/>
        <w:color w:val="666666"/>
        <w:sz w:val="17"/>
      </w:rPr>
      <w:t>ONE80 — 18 يوليو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/>
        <w:b w:val="0"/>
        <w:i w:val="0"/>
        <w:color w:val="666666"/>
        <w:sz w:val="17"/>
      </w:rPr>
      <w:t>ONE80 | تقرير التحقق من نظام الكافيه والمخزون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التحقق من نظام الكافيه والمخزون — ONE80</dc:title>
  <dc:subject>Cafe and inventory verification report</dc:subject>
  <dc:creator>ONE80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