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Purchasing Analysis — KestrelComponents</w:t>
      </w:r>
    </w:p>
    <w:p/>
    <w:p>
      <w:r>
        <w:rPr/>
        <w:t>Snapshot date: 2025-04-05 (1 day before this report)</w:t>
      </w:r>
    </w:p>
    <w:p/>
    <w:p>
      <w:r>
        <w:rPr/>
        <w:t>Report date: 2025-04-06</w:t>
      </w:r>
    </w:p>
    <w:p/>
    <w:p>
      <w:pPr>
        <w:pStyle w:val="Heading1"/>
      </w:pPr>
      <w:r>
        <w:rPr/>
        <w:t>Summary</w:t>
      </w:r>
    </w:p>
    <w:p/>
    <w:p>
      <w:r>
        <w:rPr/>
        <w:t>BearingCap will run out before a new order can arrive, facing a 6-week gap that needs immediate action. KestrelComponents has extended lead times by four weeks due to a plant move, affecting all items. GasketKit demand has surged by 50% due to a long-term contract, requiring a reassessment of order quantities.</w:t>
      </w:r>
    </w:p>
    <w:p/>
    <w:p>
      <w:pPr>
        <w:pStyle w:val="Heading1"/>
      </w:pPr>
      <w:r>
        <w:rPr/>
        <w:t>Items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Risk</w:t>
            </w:r>
          </w:p>
        </w:tc>
        <w:tc>
          <w:tcPr>
            <w:tcW w:type="dxa" w:w="1728"/>
          </w:tcPr>
          <w:p>
            <w:r>
              <w:rPr>
                <w:b/>
              </w:rPr>
              <w:t>Weeks to stockout</w:t>
            </w:r>
          </w:p>
        </w:tc>
        <w:tc>
          <w:tcPr>
            <w:tcW w:type="dxa" w:w="1728"/>
          </w:tcPr>
          <w:p>
            <w:r>
              <w:rPr>
                <w:b/>
              </w:rPr>
              <w:t>Order by</w:t>
            </w:r>
          </w:p>
        </w:tc>
        <w:tc>
          <w:tcPr>
            <w:tcW w:type="dxa" w:w="1728"/>
          </w:tcPr>
          <w:p>
            <w:r>
              <w:rPr>
                <w:b/>
              </w:rPr>
              <w:t>Quantity</w:t>
            </w:r>
          </w:p>
        </w:tc>
      </w:tr>
      <w:tr>
        <w:tc>
          <w:tcPr>
            <w:tcW w:type="dxa" w:w="1728"/>
          </w:tcPr>
          <w:p>
            <w:r>
              <w:rPr/>
              <w:t>BearingCap (520001)</w:t>
            </w:r>
          </w:p>
        </w:tc>
        <w:tc>
          <w:tcPr>
            <w:tcW w:type="dxa" w:w="1728"/>
          </w:tcPr>
          <w:p>
            <w:r>
              <w:rPr>
                <w:b/>
                <w:color w:val="C00000"/>
              </w:rPr>
              <w:t>Critical</w:t>
            </w:r>
          </w:p>
        </w:tc>
        <w:tc>
          <w:tcPr>
            <w:tcW w:type="dxa" w:w="1728"/>
          </w:tcPr>
          <w:p>
            <w:r>
              <w:rPr/>
              <w:t>12</w:t>
            </w:r>
          </w:p>
        </w:tc>
        <w:tc>
          <w:tcPr>
            <w:tcW w:type="dxa" w:w="1728"/>
          </w:tcPr>
          <w:p>
            <w:r>
              <w:rPr>
                <w:highlight w:val="yellow"/>
              </w:rPr>
              <w:t>2025-04-05 → 2025-03-08</w:t>
            </w:r>
          </w:p>
        </w:tc>
        <w:tc>
          <w:tcPr>
            <w:tcW w:type="dxa" w:w="1728"/>
          </w:tcPr>
          <w:p>
            <w:r>
              <w:rPr/>
              <w:t>1,300</w:t>
            </w:r>
          </w:p>
        </w:tc>
      </w:tr>
      <w:tr>
        <w:tc>
          <w:tcPr>
            <w:tcW w:type="dxa" w:w="1728"/>
          </w:tcPr>
          <w:p>
            <w:r>
              <w:rPr/>
              <w:t>ValveSeat (520002)</w:t>
            </w:r>
          </w:p>
        </w:tc>
        <w:tc>
          <w:tcPr>
            <w:tcW w:type="dxa" w:w="1728"/>
          </w:tcPr>
          <w:p>
            <w:r>
              <w:rPr/>
              <w:t>High</w:t>
            </w:r>
          </w:p>
        </w:tc>
        <w:tc>
          <w:tcPr>
            <w:tcW w:type="dxa" w:w="1728"/>
          </w:tcPr>
          <w:p>
            <w:r>
              <w:rPr/>
              <w:t>22</w:t>
            </w:r>
          </w:p>
        </w:tc>
        <w:tc>
          <w:tcPr>
            <w:tcW w:type="dxa" w:w="1728"/>
          </w:tcPr>
          <w:p>
            <w:r>
              <w:rPr>
                <w:highlight w:val="yellow"/>
              </w:rPr>
              <w:t>2025-05-03 → 2025-04-05</w:t>
            </w:r>
          </w:p>
        </w:tc>
        <w:tc>
          <w:tcPr>
            <w:tcW w:type="dxa" w:w="1728"/>
          </w:tcPr>
          <w:p>
            <w:r>
              <w:rPr/>
              <w:t>2,600</w:t>
            </w:r>
          </w:p>
        </w:tc>
      </w:tr>
      <w:tr>
        <w:tc>
          <w:tcPr>
            <w:tcW w:type="dxa" w:w="1728"/>
          </w:tcPr>
          <w:p>
            <w:r>
              <w:rPr/>
              <w:t>GasketKit (520003)</w:t>
            </w:r>
          </w:p>
        </w:tc>
        <w:tc>
          <w:tcPr>
            <w:tcW w:type="dxa" w:w="1728"/>
          </w:tcPr>
          <w:p>
            <w:r>
              <w:rPr/>
              <w:t>High</w:t>
            </w:r>
          </w:p>
        </w:tc>
        <w:tc>
          <w:tcPr>
            <w:tcW w:type="dxa" w:w="1728"/>
          </w:tcPr>
          <w:p>
            <w:r>
              <w:rPr/>
              <w:t>24</w:t>
            </w:r>
          </w:p>
        </w:tc>
        <w:tc>
          <w:tcPr>
            <w:tcW w:type="dxa" w:w="1728"/>
          </w:tcPr>
          <w:p>
            <w:r>
              <w:rPr>
                <w:highlight w:val="yellow"/>
              </w:rPr>
              <w:t>2025-05-17 → 2025-04-19</w:t>
            </w:r>
          </w:p>
        </w:tc>
        <w:tc>
          <w:tcPr>
            <w:tcW w:type="dxa" w:w="1728"/>
          </w:tcPr>
          <w:p>
            <w:r>
              <w:rPr>
                <w:highlight w:val="yellow"/>
              </w:rPr>
              <w:t>5,200 → 7,800</w:t>
            </w:r>
          </w:p>
        </w:tc>
      </w:tr>
      <w:tr>
        <w:tc>
          <w:tcPr>
            <w:tcW w:type="dxa" w:w="1728"/>
          </w:tcPr>
          <w:p>
            <w:r>
              <w:rPr/>
              <w:t>PistonRing (520004)</w:t>
            </w:r>
          </w:p>
        </w:tc>
        <w:tc>
          <w:tcPr>
            <w:tcW w:type="dxa" w:w="1728"/>
          </w:tcPr>
          <w:p>
            <w:r>
              <w:rPr/>
              <w:t>Medium</w:t>
            </w:r>
          </w:p>
        </w:tc>
        <w:tc>
          <w:tcPr>
            <w:tcW w:type="dxa" w:w="1728"/>
          </w:tcPr>
          <w:p>
            <w:r>
              <w:rPr/>
              <w:t>30</w:t>
            </w:r>
          </w:p>
        </w:tc>
        <w:tc>
          <w:tcPr>
            <w:tcW w:type="dxa" w:w="1728"/>
          </w:tcPr>
          <w:p>
            <w:r>
              <w:rPr>
                <w:highlight w:val="yellow"/>
              </w:rPr>
              <w:t>2025-06-28 → 2025-05-31</w:t>
            </w:r>
          </w:p>
        </w:tc>
        <w:tc>
          <w:tcPr>
            <w:tcW w:type="dxa" w:w="1728"/>
          </w:tcPr>
          <w:p>
            <w:r>
              <w:rPr/>
              <w:t>1,300</w:t>
            </w:r>
          </w:p>
        </w:tc>
      </w:tr>
      <w:tr>
        <w:tc>
          <w:tcPr>
            <w:tcW w:type="dxa" w:w="1728"/>
          </w:tcPr>
          <w:p>
            <w:r>
              <w:rPr/>
              <w:t>OilSeal (520005)</w:t>
            </w:r>
          </w:p>
        </w:tc>
        <w:tc>
          <w:tcPr>
            <w:tcW w:type="dxa" w:w="1728"/>
          </w:tcPr>
          <w:p>
            <w:r>
              <w:rPr/>
              <w:t>Low</w:t>
            </w:r>
          </w:p>
        </w:tc>
        <w:tc>
          <w:tcPr>
            <w:tcW w:type="dxa" w:w="1728"/>
          </w:tcPr>
          <w:p>
            <w:r>
              <w:rPr/>
              <w:t>50</w:t>
            </w:r>
          </w:p>
        </w:tc>
        <w:tc>
          <w:tcPr>
            <w:tcW w:type="dxa" w:w="1728"/>
          </w:tcPr>
          <w:p>
            <w:r>
              <w:rPr>
                <w:highlight w:val="yellow"/>
              </w:rPr>
              <w:t>2025-11-15 → 2025-10-18</w:t>
            </w:r>
          </w:p>
        </w:tc>
        <w:tc>
          <w:tcPr>
            <w:tcW w:type="dxa" w:w="1728"/>
          </w:tcPr>
          <w:p>
            <w:r>
              <w:rPr/>
              <w:t>1,820</w:t>
            </w:r>
          </w:p>
        </w:tc>
      </w:tr>
    </w:tbl>
    <w:p/>
    <w:p/>
    <w:p>
      <w:pPr>
        <w:pStyle w:val="Heading1"/>
      </w:pPr>
      <w:r>
        <w:rPr/>
        <w:t>Findings</w:t>
      </w:r>
    </w:p>
    <w:p/>
    <w:p>
      <w:r>
        <w:rPr/>
        <w:t>F1. KestrelComponents — announced that from 1 April 2025 lead times for all products are four weeks longer while production moves to its new plant in Gdansk. The supplier expects the longer lead times to last until the end of 2025. [1]</w:t>
      </w:r>
    </w:p>
    <w:p>
      <w:r>
        <w:rPr/>
        <w:t>F2. BearingCap — runs out before a new order can arrive; the gap is 6 weeks. (stock position)</w:t>
      </w:r>
    </w:p>
    <w:p>
      <w:r>
        <w:rPr/>
        <w:t>F3. BearingCap — no documents on this item.</w:t>
      </w:r>
    </w:p>
    <w:p>
      <w:r>
        <w:rPr/>
        <w:t>F4. ValveSeat — no documents on this item.</w:t>
      </w:r>
    </w:p>
    <w:p>
      <w:r>
        <w:rPr/>
        <w:t>F5. GasketKit — demand has been 50% higher since January 2025, after a fleet operator signed a contract for monthly deliveries that runs until December 2027. [2]</w:t>
      </w:r>
    </w:p>
    <w:p>
      <w:r>
        <w:rPr/>
        <w:t>F6. PistonRing — no documents on this item.</w:t>
      </w:r>
    </w:p>
    <w:p>
      <w:r>
        <w:rPr/>
        <w:t>F7. OilSeal — demand has been steady over the past year. [3]</w:t>
      </w:r>
    </w:p>
    <w:p/>
    <w:p>
      <w:pPr>
        <w:pStyle w:val="Heading1"/>
      </w:pPr>
      <w:r>
        <w:rPr/>
        <w:t>Critical Questions</w:t>
      </w:r>
    </w:p>
    <w:p/>
    <w:p>
      <w:r>
        <w:rPr/>
        <w:t>Ask KestrelComponents:</w:t>
      </w:r>
    </w:p>
    <w:p>
      <w:r>
        <w:rPr/>
        <w:t>1. How will the extended lead times due to the plant move affect the delivery schedule for BearingCap, ValveSeat, GasketKit, PistonRing, and OilSeal? (F1)</w:t>
      </w:r>
    </w:p>
    <w:p>
      <w:r>
        <w:rPr/>
        <w:t>Check internally:</w:t>
      </w:r>
    </w:p>
    <w:p>
      <w:r>
        <w:rPr/>
        <w:t>2. Is the increased GasketKit demand expected to continue beyond the current contract? (F5)</w:t>
      </w:r>
    </w:p>
    <w:p/>
    <w:p>
      <w:pPr>
        <w:pStyle w:val="Heading1"/>
      </w:pPr>
      <w:r>
        <w:rPr/>
        <w:t>Proposals</w:t>
      </w:r>
    </w:p>
    <w:p/>
    <w:p>
      <w:r>
        <w:rPr/>
        <w:t xml:space="preserve">1. BearingCap order date </w:t>
      </w:r>
      <w:r>
        <w:rPr>
          <w:highlight w:val="yellow"/>
        </w:rPr>
        <w:t>2025-04-05 → 2025-03-08</w:t>
      </w:r>
      <w:r>
        <w:rPr/>
        <w:t xml:space="preserve"> (4 weeks earlier): Lead times are four weeks longer due to the plant move. (F1)</w:t>
      </w:r>
    </w:p>
    <w:p>
      <w:r>
        <w:rPr/>
        <w:t xml:space="preserve">2. ValveSeat order date </w:t>
      </w:r>
      <w:r>
        <w:rPr>
          <w:highlight w:val="yellow"/>
        </w:rPr>
        <w:t>2025-05-03 → 2025-04-05</w:t>
      </w:r>
      <w:r>
        <w:rPr/>
        <w:t xml:space="preserve"> (4 weeks earlier): Lead times are four weeks longer due to the plant move. (F1)</w:t>
      </w:r>
    </w:p>
    <w:p>
      <w:r>
        <w:rPr/>
        <w:t xml:space="preserve">3. GasketKit order date </w:t>
      </w:r>
      <w:r>
        <w:rPr>
          <w:highlight w:val="yellow"/>
        </w:rPr>
        <w:t>2025-05-17 → 2025-04-19</w:t>
      </w:r>
      <w:r>
        <w:rPr/>
        <w:t xml:space="preserve"> (4 weeks earlier): Lead times are four weeks longer due to the plant move. (F1)</w:t>
      </w:r>
    </w:p>
    <w:p>
      <w:r>
        <w:rPr/>
        <w:t xml:space="preserve">4. GasketKit quantity </w:t>
      </w:r>
      <w:r>
        <w:rPr>
          <w:highlight w:val="yellow"/>
        </w:rPr>
        <w:t>5,200 → 7,800</w:t>
      </w:r>
      <w:r>
        <w:rPr/>
        <w:t xml:space="preserve"> (×1.5): Demand has increased by 50% due to a new contract. (F5)</w:t>
      </w:r>
    </w:p>
    <w:p>
      <w:r>
        <w:rPr/>
        <w:t xml:space="preserve">5. PistonRing order date </w:t>
      </w:r>
      <w:r>
        <w:rPr>
          <w:highlight w:val="yellow"/>
        </w:rPr>
        <w:t>2025-06-28 → 2025-05-31</w:t>
      </w:r>
      <w:r>
        <w:rPr/>
        <w:t xml:space="preserve"> (4 weeks earlier): Lead times are four weeks longer due to the plant move. (F1)</w:t>
      </w:r>
    </w:p>
    <w:p>
      <w:r>
        <w:rPr/>
        <w:t xml:space="preserve">6. OilSeal order date </w:t>
      </w:r>
      <w:r>
        <w:rPr>
          <w:highlight w:val="yellow"/>
        </w:rPr>
        <w:t>2025-11-15 → 2025-10-18</w:t>
      </w:r>
      <w:r>
        <w:rPr/>
        <w:t xml:space="preserve"> (4 weeks earlier): Lead times are four weeks longer due to the plant move. (F1)</w:t>
      </w:r>
    </w:p>
    <w:p/>
    <w:p>
      <w:pPr>
        <w:pStyle w:val="Heading1"/>
      </w:pPr>
      <w:r>
        <w:rPr/>
        <w:t>Recommended Actions</w:t>
      </w:r>
    </w:p>
    <w:p/>
    <w:p>
      <w:r>
        <w:rPr/>
        <w:t>1. Ask KestrelComponents for expedited shipping of BearingCap, or cover it from an alternative source, to bridge the 6-week gap. (F2)</w:t>
      </w:r>
    </w:p>
    <w:p>
      <w:r>
        <w:rPr/>
        <w:t>2. Confirm the impact of the extended lead times on the delivery schedule for all items with KestrelComponents. (F1)</w:t>
      </w:r>
    </w:p>
    <w:p>
      <w:r>
        <w:rPr/>
        <w:t>3. Reassess the GasketKit order quantity to accommodate the 50% increase in demand due to the new contract. (F5)</w:t>
      </w:r>
    </w:p>
    <w:p/>
    <w:p>
      <w:pPr>
        <w:pStyle w:val="Heading1"/>
      </w:pPr>
      <w:r>
        <w:rPr/>
        <w:t>Item Details</w:t>
      </w:r>
    </w:p>
    <w:p/>
    <w:p>
      <w:pPr>
        <w:pStyle w:val="Heading2"/>
      </w:pPr>
      <w:r>
        <w:rPr/>
        <w:t xml:space="preserve">BearingCap (520001) — </w:t>
      </w:r>
      <w:r>
        <w:rPr>
          <w:b/>
          <w:color w:val="C00000"/>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600</w:t>
            </w:r>
          </w:p>
        </w:tc>
      </w:tr>
      <w:tr>
        <w:tc>
          <w:tcPr>
            <w:tcW w:type="dxa" w:w="4320"/>
          </w:tcPr>
          <w:p>
            <w:r>
              <w:rPr/>
              <w:t>Weeks to stockout</w:t>
            </w:r>
          </w:p>
        </w:tc>
        <w:tc>
          <w:tcPr>
            <w:tcW w:type="dxa" w:w="4320"/>
          </w:tcPr>
          <w:p>
            <w:r>
              <w:rPr/>
              <w:t>12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2025-04-05 → 2025-03-08</w:t>
            </w:r>
          </w:p>
        </w:tc>
      </w:tr>
      <w:tr>
        <w:tc>
          <w:tcPr>
            <w:tcW w:type="dxa" w:w="4320"/>
          </w:tcPr>
          <w:p>
            <w:r>
              <w:rPr/>
              <w:t>Deliver by</w:t>
            </w:r>
          </w:p>
        </w:tc>
        <w:tc>
          <w:tcPr>
            <w:tcW w:type="dxa" w:w="4320"/>
          </w:tcPr>
          <w:p>
            <w:r>
              <w:rPr/>
              <w:t>2025-06-28</w:t>
            </w:r>
          </w:p>
        </w:tc>
      </w:tr>
      <w:tr>
        <w:tc>
          <w:tcPr>
            <w:tcW w:type="dxa" w:w="4320"/>
          </w:tcPr>
          <w:p>
            <w:r>
              <w:rPr/>
              <w:t>Suggested quantity</w:t>
            </w:r>
          </w:p>
        </w:tc>
        <w:tc>
          <w:tcPr>
            <w:tcW w:type="dxa" w:w="4320"/>
          </w:tcPr>
          <w:p>
            <w:r>
              <w:rPr/>
              <w:t>1,300</w:t>
            </w:r>
          </w:p>
        </w:tc>
      </w:tr>
    </w:tbl>
    <w:p/>
    <w:p/>
    <w:p>
      <w:pPr>
        <w:pStyle w:val="Heading2"/>
      </w:pPr>
      <w:r>
        <w:rPr/>
        <w:t>ValveSeat (520002)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2,200</w:t>
            </w:r>
          </w:p>
        </w:tc>
      </w:tr>
      <w:tr>
        <w:tc>
          <w:tcPr>
            <w:tcW w:type="dxa" w:w="4320"/>
          </w:tcPr>
          <w:p>
            <w:r>
              <w:rPr/>
              <w:t>Weeks to stockout</w:t>
            </w:r>
          </w:p>
        </w:tc>
        <w:tc>
          <w:tcPr>
            <w:tcW w:type="dxa" w:w="4320"/>
          </w:tcPr>
          <w:p>
            <w:r>
              <w:rPr/>
              <w:t>22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2025-05-03 → 2025-04-05</w:t>
            </w:r>
          </w:p>
        </w:tc>
      </w:tr>
      <w:tr>
        <w:tc>
          <w:tcPr>
            <w:tcW w:type="dxa" w:w="4320"/>
          </w:tcPr>
          <w:p>
            <w:r>
              <w:rPr/>
              <w:t>Deliver by</w:t>
            </w:r>
          </w:p>
        </w:tc>
        <w:tc>
          <w:tcPr>
            <w:tcW w:type="dxa" w:w="4320"/>
          </w:tcPr>
          <w:p>
            <w:r>
              <w:rPr/>
              <w:t>2025-09-06</w:t>
            </w:r>
          </w:p>
        </w:tc>
      </w:tr>
      <w:tr>
        <w:tc>
          <w:tcPr>
            <w:tcW w:type="dxa" w:w="4320"/>
          </w:tcPr>
          <w:p>
            <w:r>
              <w:rPr/>
              <w:t>Suggested quantity</w:t>
            </w:r>
          </w:p>
        </w:tc>
        <w:tc>
          <w:tcPr>
            <w:tcW w:type="dxa" w:w="4320"/>
          </w:tcPr>
          <w:p>
            <w:r>
              <w:rPr/>
              <w:t>2,600</w:t>
            </w:r>
          </w:p>
        </w:tc>
      </w:tr>
    </w:tbl>
    <w:p/>
    <w:p/>
    <w:p>
      <w:pPr>
        <w:pStyle w:val="Heading2"/>
      </w:pPr>
      <w:r>
        <w:rPr/>
        <w:t>GasketKit (520003)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4,800</w:t>
            </w:r>
          </w:p>
        </w:tc>
      </w:tr>
      <w:tr>
        <w:tc>
          <w:tcPr>
            <w:tcW w:type="dxa" w:w="4320"/>
          </w:tcPr>
          <w:p>
            <w:r>
              <w:rPr/>
              <w:t>Weeks to stockout</w:t>
            </w:r>
          </w:p>
        </w:tc>
        <w:tc>
          <w:tcPr>
            <w:tcW w:type="dxa" w:w="4320"/>
          </w:tcPr>
          <w:p>
            <w:r>
              <w:rPr/>
              <w:t>24</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2025-05-17 → 2025-04-19</w:t>
            </w:r>
          </w:p>
        </w:tc>
      </w:tr>
      <w:tr>
        <w:tc>
          <w:tcPr>
            <w:tcW w:type="dxa" w:w="4320"/>
          </w:tcPr>
          <w:p>
            <w:r>
              <w:rPr/>
              <w:t>Deliver by</w:t>
            </w:r>
          </w:p>
        </w:tc>
        <w:tc>
          <w:tcPr>
            <w:tcW w:type="dxa" w:w="4320"/>
          </w:tcPr>
          <w:p>
            <w:r>
              <w:rPr/>
              <w:t>2025-09-20</w:t>
            </w:r>
          </w:p>
        </w:tc>
      </w:tr>
      <w:tr>
        <w:tc>
          <w:tcPr>
            <w:tcW w:type="dxa" w:w="4320"/>
          </w:tcPr>
          <w:p>
            <w:r>
              <w:rPr/>
              <w:t>Suggested quantity</w:t>
            </w:r>
          </w:p>
        </w:tc>
        <w:tc>
          <w:tcPr>
            <w:tcW w:type="dxa" w:w="4320"/>
          </w:tcPr>
          <w:p>
            <w:r>
              <w:rPr>
                <w:highlight w:val="yellow"/>
              </w:rPr>
              <w:t>5,200 → 7,800</w:t>
            </w:r>
          </w:p>
        </w:tc>
      </w:tr>
    </w:tbl>
    <w:p/>
    <w:p/>
    <w:p>
      <w:pPr>
        <w:pStyle w:val="Heading2"/>
      </w:pPr>
      <w:r>
        <w:rPr/>
        <w:t>PistonRing (520004) — Medium</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1,500</w:t>
            </w:r>
          </w:p>
        </w:tc>
      </w:tr>
      <w:tr>
        <w:tc>
          <w:tcPr>
            <w:tcW w:type="dxa" w:w="4320"/>
          </w:tcPr>
          <w:p>
            <w:r>
              <w:rPr/>
              <w:t>Weeks to stockout</w:t>
            </w:r>
          </w:p>
        </w:tc>
        <w:tc>
          <w:tcPr>
            <w:tcW w:type="dxa" w:w="4320"/>
          </w:tcPr>
          <w:p>
            <w:r>
              <w:rPr/>
              <w:t>30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2025-06-28 → 2025-05-31</w:t>
            </w:r>
          </w:p>
        </w:tc>
      </w:tr>
      <w:tr>
        <w:tc>
          <w:tcPr>
            <w:tcW w:type="dxa" w:w="4320"/>
          </w:tcPr>
          <w:p>
            <w:r>
              <w:rPr/>
              <w:t>Deliver by</w:t>
            </w:r>
          </w:p>
        </w:tc>
        <w:tc>
          <w:tcPr>
            <w:tcW w:type="dxa" w:w="4320"/>
          </w:tcPr>
          <w:p>
            <w:r>
              <w:rPr/>
              <w:t>2025-11-01</w:t>
            </w:r>
          </w:p>
        </w:tc>
      </w:tr>
      <w:tr>
        <w:tc>
          <w:tcPr>
            <w:tcW w:type="dxa" w:w="4320"/>
          </w:tcPr>
          <w:p>
            <w:r>
              <w:rPr/>
              <w:t>Suggested quantity</w:t>
            </w:r>
          </w:p>
        </w:tc>
        <w:tc>
          <w:tcPr>
            <w:tcW w:type="dxa" w:w="4320"/>
          </w:tcPr>
          <w:p>
            <w:r>
              <w:rPr/>
              <w:t>1,300</w:t>
            </w:r>
          </w:p>
        </w:tc>
      </w:tr>
    </w:tbl>
    <w:p/>
    <w:p/>
    <w:p>
      <w:pPr>
        <w:pStyle w:val="Heading2"/>
      </w:pPr>
      <w:r>
        <w:rPr/>
        <w:t>OilSeal (520005) — Low</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3,500</w:t>
            </w:r>
          </w:p>
        </w:tc>
      </w:tr>
      <w:tr>
        <w:tc>
          <w:tcPr>
            <w:tcW w:type="dxa" w:w="4320"/>
          </w:tcPr>
          <w:p>
            <w:r>
              <w:rPr/>
              <w:t>Weeks to stockout</w:t>
            </w:r>
          </w:p>
        </w:tc>
        <w:tc>
          <w:tcPr>
            <w:tcW w:type="dxa" w:w="4320"/>
          </w:tcPr>
          <w:p>
            <w:r>
              <w:rPr/>
              <w:t>50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2025-11-15 → 2025-10-18</w:t>
            </w:r>
          </w:p>
        </w:tc>
      </w:tr>
      <w:tr>
        <w:tc>
          <w:tcPr>
            <w:tcW w:type="dxa" w:w="4320"/>
          </w:tcPr>
          <w:p>
            <w:r>
              <w:rPr/>
              <w:t>Deliver by</w:t>
            </w:r>
          </w:p>
        </w:tc>
        <w:tc>
          <w:tcPr>
            <w:tcW w:type="dxa" w:w="4320"/>
          </w:tcPr>
          <w:p>
            <w:r>
              <w:rPr/>
              <w:t>2026-03-21</w:t>
            </w:r>
          </w:p>
        </w:tc>
      </w:tr>
      <w:tr>
        <w:tc>
          <w:tcPr>
            <w:tcW w:type="dxa" w:w="4320"/>
          </w:tcPr>
          <w:p>
            <w:r>
              <w:rPr/>
              <w:t>Suggested quantity</w:t>
            </w:r>
          </w:p>
        </w:tc>
        <w:tc>
          <w:tcPr>
            <w:tcW w:type="dxa" w:w="4320"/>
          </w:tcPr>
          <w:p>
            <w:r>
              <w:rPr/>
              <w:t>1,820</w:t>
            </w:r>
          </w:p>
        </w:tc>
      </w:tr>
    </w:tbl>
    <w:p/>
    <w:p/>
    <w:p>
      <w:pPr>
        <w:pStyle w:val="Heading1"/>
      </w:pPr>
      <w:r>
        <w:rPr/>
        <w:t>Referenced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r>
        <w:tc>
          <w:tcPr>
            <w:tcW w:type="dxa" w:w="2160"/>
          </w:tcPr>
          <w:p>
            <w:r>
              <w:rPr/>
              <w:t>3</w:t>
            </w:r>
          </w:p>
        </w:tc>
        <w:tc>
          <w:tcPr>
            <w:tcW w:type="dxa" w:w="2160"/>
          </w:tcPr>
          <w:p>
            <w:r>
              <w:rPr/>
              <w:t>oilseal_review_2024.docx</w:t>
            </w:r>
          </w:p>
        </w:tc>
        <w:tc>
          <w:tcPr>
            <w:tcW w:type="dxa" w:w="2160"/>
          </w:tcPr>
          <w:p>
            <w:r>
              <w:rPr/>
              <w:t>2024-12-15</w:t>
            </w:r>
          </w:p>
        </w:tc>
        <w:tc>
          <w:tcPr>
            <w:tcW w:type="dxa" w:w="2160"/>
          </w:tcPr>
          <w:p>
            <w:r>
              <w:rPr/>
              <w:t>OilSeal (any supplier)</w:t>
            </w:r>
          </w:p>
        </w:tc>
      </w:tr>
    </w:tbl>
    <w:p/>
    <w:p/>
    <w:p>
      <w:r>
        <w:rPr/>
        <w:t>Run id: 2026-10-23_013618_arrows-in-the-text-c9-j7-for-changed-figures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