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which must be addressed immediately. KestrelComponents has extended lead times by four weeks due to a plant move, affecting all items. GasketKit demand has surged by 50% due to a long-term contract, necessitating a review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t>2025-04-05 (overdue)</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schedule for BearingCap, ValveSeat, GasketKit, PistonRing, and OilSeal? (F1)</w:t>
      </w:r>
    </w:p>
    <w:p>
      <w:r>
        <w:rPr/>
        <w:t>Check internally:</w:t>
      </w:r>
    </w:p>
    <w:p>
      <w:r>
        <w:rPr/>
        <w:t>2. Is the increased GasketKit demand expected to continue beyond the current contract? (F5)</w:t>
      </w:r>
    </w:p>
    <w:p/>
    <w:p>
      <w:pPr>
        <w:pStyle w:val="Heading1"/>
      </w:pPr>
      <w:r>
        <w:rPr/>
        <w:t>Proposals</w:t>
      </w:r>
    </w:p>
    <w:p/>
    <w:p>
      <w:r>
        <w:rPr/>
        <w:t xml:space="preserve">1. ValveSeat order date </w:t>
      </w:r>
      <w:r>
        <w:rPr>
          <w:highlight w:val="yellow"/>
        </w:rPr>
        <w:t>2025-05-03 → 2025-04-05</w:t>
      </w:r>
      <w:r>
        <w:rPr/>
        <w:t xml:space="preserve"> (4 weeks earlier): Lead times have increased by four weeks due to the supplier's plant move. (F1)</w:t>
      </w:r>
    </w:p>
    <w:p>
      <w:r>
        <w:rPr/>
        <w:t xml:space="preserve">2. GasketKit order date </w:t>
      </w:r>
      <w:r>
        <w:rPr>
          <w:highlight w:val="yellow"/>
        </w:rPr>
        <w:t>2025-05-17 → 2025-04-19</w:t>
      </w:r>
      <w:r>
        <w:rPr/>
        <w:t xml:space="preserve"> (4 weeks earlier): Lead times have increased by four weeks due to the supplier's plant move. (F1)</w:t>
      </w:r>
    </w:p>
    <w:p>
      <w:r>
        <w:rPr/>
        <w:t xml:space="preserve">3. GasketKit quantity </w:t>
      </w:r>
      <w:r>
        <w:rPr>
          <w:highlight w:val="yellow"/>
        </w:rPr>
        <w:t>5,200 → 7,800</w:t>
      </w:r>
      <w:r>
        <w:rPr/>
        <w:t xml:space="preserve"> (×1.5): Demand has increased by 50% due to a new contract. (F5)</w:t>
      </w:r>
    </w:p>
    <w:p>
      <w:r>
        <w:rPr/>
        <w:t xml:space="preserve">4. PistonRing order date </w:t>
      </w:r>
      <w:r>
        <w:rPr>
          <w:highlight w:val="yellow"/>
        </w:rPr>
        <w:t>2025-06-28 → 2025-05-31</w:t>
      </w:r>
      <w:r>
        <w:rPr/>
        <w:t xml:space="preserve"> (4 weeks earlier): Lead times have increased by four weeks due to the supplier's plant move. (F1)</w:t>
      </w:r>
    </w:p>
    <w:p>
      <w:r>
        <w:rPr/>
        <w:t xml:space="preserve">5. OilSeal order date </w:t>
      </w:r>
      <w:r>
        <w:rPr>
          <w:highlight w:val="yellow"/>
        </w:rPr>
        <w:t>2025-11-15 → 2025-10-18</w:t>
      </w:r>
      <w:r>
        <w:rPr/>
        <w:t xml:space="preserve"> (4 weeks earlier): Lead times have increased by four weeks due to the supplier's plant move. (F1)</w:t>
      </w:r>
    </w:p>
    <w:p/>
    <w:p>
      <w:pPr>
        <w:pStyle w:val="Heading1"/>
      </w:pPr>
      <w:r>
        <w:rPr/>
        <w:t>Recommended Actions</w:t>
      </w:r>
    </w:p>
    <w:p/>
    <w:p>
      <w:r>
        <w:rPr/>
        <w:t>1. Ask KestrelComponents for expedited shipping of BearingCap, or cover it from an alternative source, to bridge the 6-week gap. (F2)</w:t>
      </w:r>
    </w:p>
    <w:p>
      <w:r>
        <w:rPr/>
        <w:t>2. Confirm the impact of the extended lead times on the delivery schedule for all items with KestrelComponents. (F1)</w:t>
      </w:r>
    </w:p>
    <w:p>
      <w:r>
        <w:rPr/>
        <w:t>3. Review and potentially increase the order quantity for GasketKit to accommodate the 50% demand increase.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2025-04-05 (overdue)</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2026-10-23_172416_rewrite-on-any-blocking-failure-code-or-judge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