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Please check</w:t>
      </w:r>
    </w:p>
    <w:p>
      <w:r>
        <w:rPr>
          <w:i/>
          <w:color w:val="C00000"/>
        </w:rPr>
        <w:t>- Purpose and Justification could not be checked automatically; please review it.</w:t>
      </w:r>
    </w:p>
    <w:p>
      <w:r>
        <w:rPr>
          <w:i/>
          <w:color w:val="C00000"/>
        </w:rPr>
        <w:t>- Purpose or Justification is longer than intended: justification has 5 sentences (2-4)</w:t>
      </w:r>
    </w:p>
    <w:p/>
    <w:p>
      <w:r>
        <w:rPr>
          <w:b/>
          <w:i/>
          <w:color w:val="C00000"/>
        </w:rPr>
        <w:t>Critical Questions</w:t>
      </w:r>
    </w:p>
    <w:p>
      <w:r>
        <w:rPr>
          <w:i/>
          <w:color w:val="C00000"/>
        </w:rPr>
        <w:t>Ask KestrelComponents:</w:t>
      </w:r>
    </w:p>
    <w:p>
      <w:r>
        <w:rPr>
          <w:i/>
          <w:color w:val="C00000"/>
        </w:rPr>
        <w:t>1. How will the extended lead times due to the plant move affect the delivery schedule for BearingCap, ValveSeat, GasketKit, PistonRing, and OilSeal?</w:t>
      </w:r>
    </w:p>
    <w:p>
      <w:r>
        <w:rPr>
          <w:i/>
          <w:color w:val="C00000"/>
        </w:rPr>
        <w:t>Check internally:</w:t>
      </w:r>
    </w:p>
    <w:p>
      <w:r>
        <w:rPr>
          <w:i/>
          <w:color w:val="C00000"/>
        </w:rPr>
        <w:t>2. Is the increased GasketKit demand expected to continue beyond the current contract?</w:t>
      </w:r>
    </w:p>
    <w:p/>
    <w:p>
      <w:r>
        <w:rPr>
          <w:b/>
          <w:i/>
          <w:color w:val="C00000"/>
        </w:rPr>
        <w:t>Recommended Actions</w:t>
      </w:r>
    </w:p>
    <w:p>
      <w:r>
        <w:rPr>
          <w:i/>
          <w:color w:val="C00000"/>
        </w:rPr>
        <w:t>1. Ask KestrelComponents for expedited shipping of BearingCap, or cover it from an alternative source, to bridge the 6-week gap.</w:t>
      </w:r>
    </w:p>
    <w:p>
      <w:r>
        <w:rPr>
          <w:i/>
          <w:color w:val="C00000"/>
        </w:rPr>
        <w:t>2. Confirm the impact of the extended lead times on the delivery schedule for all items with KestrelComponents.</w:t>
      </w:r>
    </w:p>
    <w:p>
      <w:r>
        <w:rPr>
          <w:i/>
          <w:color w:val="C00000"/>
        </w:rPr>
        <w:t>3. Review and potentially increase the order quantity for GasketKit to accommodate the 50% demand increase.</w:t>
      </w:r>
    </w:p>
    <w:p/>
    <w:p>
      <w:pPr>
        <w:pStyle w:val="Title"/>
      </w:pPr>
      <w:r>
        <w:rPr/>
        <w:t>Purchase Request — KestrelComponents</w:t>
      </w:r>
    </w:p>
    <w:p/>
    <w:p>
      <w:r>
        <w:rPr/>
        <w:t>Request date: 2025-04-06</w:t>
      </w:r>
    </w:p>
    <w:p/>
    <w:p>
      <w:r>
        <w:rPr/>
        <w:t xml:space="preserve">Requested by: </w:t>
      </w:r>
      <w:r>
        <w:rPr>
          <w:i/>
        </w:rPr>
        <w:t>[Your name here]</w:t>
      </w:r>
    </w:p>
    <w:p/>
    <w:p>
      <w:r>
        <w:rPr/>
        <w:t>Analysis reference: run 2026-10-23_172416_rewrite-on-any-blocking-failure-code-or-judge</w:t>
      </w:r>
    </w:p>
    <w:p/>
    <w:p>
      <w:pPr>
        <w:pStyle w:val="Heading1"/>
      </w:pPr>
      <w:r>
        <w:rPr/>
        <w:t>Purpose</w:t>
      </w:r>
    </w:p>
    <w:p/>
    <w:p>
      <w:r>
        <w:rPr/>
        <w:t>This request seeks approval to purchase BearingCap, ValveSeat, GasketKit, and PistonRing from KestrelComponents to address imminent stockouts and increased demand.</w:t>
      </w:r>
    </w:p>
    <w:p/>
    <w:p>
      <w:pPr>
        <w:pStyle w:val="Heading1"/>
      </w:pPr>
      <w:r>
        <w:rPr/>
        <w:t>Justification</w:t>
      </w:r>
    </w:p>
    <w:p/>
    <w:p>
      <w:r>
        <w:rPr/>
        <w:t>Approval is needed to order BearingCap immediately as it will run out before a new order can arrive, resulting in a 6-week gap [1]. The order date for ValveSeat is moved to 2025-04-05 due to a four-week increase in lead times caused by the supplier's plant relocation [1]. Similarly, the order date for GasketKit is advanced to 2025-04-19, and its quantity increased to 7800 units to meet a 50% rise in demand from a new contract [2]. The order date for PistonRing is adjusted to 2025-05-31 to account for the extended lead times [1]. The request is contingent upon confirming the impact of these lead times on the delivery schedule with KestrelComponents and securing expedited shipping or an alternative source for BearingCap to bridge the gap.</w:t>
      </w:r>
    </w:p>
    <w:p/>
    <w:p>
      <w:pPr>
        <w:pStyle w:val="Heading1"/>
      </w:pPr>
      <w:r>
        <w:rPr/>
        <w:t>Items Requested (snapshot 2025-04-05)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Item</w:t>
            </w:r>
          </w:p>
        </w:tc>
        <w:tc>
          <w:tcPr>
            <w:tcW w:type="dxa" w:w="1234"/>
          </w:tcPr>
          <w:p>
            <w:r>
              <w:rPr>
                <w:b/>
              </w:rPr>
              <w:t>Code</w:t>
            </w:r>
          </w:p>
        </w:tc>
        <w:tc>
          <w:tcPr>
            <w:tcW w:type="dxa" w:w="1234"/>
          </w:tcPr>
          <w:p>
            <w:r>
              <w:rPr>
                <w:b/>
              </w:rPr>
              <w:t>Risk</w:t>
            </w:r>
          </w:p>
        </w:tc>
        <w:tc>
          <w:tcPr>
            <w:tcW w:type="dxa" w:w="1234"/>
          </w:tcPr>
          <w:p>
            <w:r>
              <w:rPr>
                <w:b/>
              </w:rPr>
              <w:t>Weeks to stockout</w:t>
            </w:r>
          </w:p>
        </w:tc>
        <w:tc>
          <w:tcPr>
            <w:tcW w:type="dxa" w:w="1234"/>
          </w:tcPr>
          <w:p>
            <w:r>
              <w:rPr>
                <w:b/>
              </w:rPr>
              <w:t>Quantity</w:t>
            </w:r>
          </w:p>
        </w:tc>
        <w:tc>
          <w:tcPr>
            <w:tcW w:type="dxa" w:w="1234"/>
          </w:tcPr>
          <w:p>
            <w:r>
              <w:rPr>
                <w:b/>
              </w:rPr>
              <w:t>Order by</w:t>
            </w:r>
          </w:p>
        </w:tc>
        <w:tc>
          <w:tcPr>
            <w:tcW w:type="dxa" w:w="1234"/>
          </w:tcPr>
          <w:p>
            <w:r>
              <w:rPr>
                <w:b/>
              </w:rPr>
              <w:t>Deliver by</w:t>
            </w:r>
          </w:p>
        </w:tc>
      </w:tr>
      <w:tr>
        <w:tc>
          <w:tcPr>
            <w:tcW w:type="dxa" w:w="1234"/>
          </w:tcPr>
          <w:p>
            <w:r>
              <w:rPr/>
              <w:t>BearingCap</w:t>
            </w:r>
          </w:p>
        </w:tc>
        <w:tc>
          <w:tcPr>
            <w:tcW w:type="dxa" w:w="1234"/>
          </w:tcPr>
          <w:p>
            <w:r>
              <w:rPr/>
              <w:t>520001</w:t>
            </w:r>
          </w:p>
        </w:tc>
        <w:tc>
          <w:tcPr>
            <w:tcW w:type="dxa" w:w="1234"/>
          </w:tcPr>
          <w:p>
            <w:r>
              <w:rPr>
                <w:b/>
                <w:color w:val="C00000"/>
              </w:rPr>
              <w:t>Critical</w:t>
            </w:r>
          </w:p>
        </w:tc>
        <w:tc>
          <w:tcPr>
            <w:tcW w:type="dxa" w:w="1234"/>
          </w:tcPr>
          <w:p>
            <w:r>
              <w:rPr/>
              <w:t>12</w:t>
            </w:r>
          </w:p>
        </w:tc>
        <w:tc>
          <w:tcPr>
            <w:tcW w:type="dxa" w:w="1234"/>
          </w:tcPr>
          <w:p>
            <w:r>
              <w:rPr/>
              <w:t>1,300</w:t>
            </w:r>
          </w:p>
        </w:tc>
        <w:tc>
          <w:tcPr>
            <w:tcW w:type="dxa" w:w="1234"/>
          </w:tcPr>
          <w:p>
            <w:r>
              <w:rPr/>
              <w:t>2025-04-05 (overdue)</w:t>
            </w:r>
          </w:p>
        </w:tc>
        <w:tc>
          <w:tcPr>
            <w:tcW w:type="dxa" w:w="1234"/>
          </w:tcPr>
          <w:p>
            <w:r>
              <w:rPr/>
              <w:t>2025-06-28</w:t>
            </w:r>
          </w:p>
        </w:tc>
      </w:tr>
      <w:tr>
        <w:tc>
          <w:tcPr>
            <w:tcW w:type="dxa" w:w="1234"/>
          </w:tcPr>
          <w:p>
            <w:r>
              <w:rPr/>
              <w:t>ValveSeat</w:t>
            </w:r>
          </w:p>
        </w:tc>
        <w:tc>
          <w:tcPr>
            <w:tcW w:type="dxa" w:w="1234"/>
          </w:tcPr>
          <w:p>
            <w:r>
              <w:rPr/>
              <w:t>520002</w:t>
            </w:r>
          </w:p>
        </w:tc>
        <w:tc>
          <w:tcPr>
            <w:tcW w:type="dxa" w:w="1234"/>
          </w:tcPr>
          <w:p>
            <w:r>
              <w:rPr/>
              <w:t>High</w:t>
            </w:r>
          </w:p>
        </w:tc>
        <w:tc>
          <w:tcPr>
            <w:tcW w:type="dxa" w:w="1234"/>
          </w:tcPr>
          <w:p>
            <w:r>
              <w:rPr/>
              <w:t>22</w:t>
            </w:r>
          </w:p>
        </w:tc>
        <w:tc>
          <w:tcPr>
            <w:tcW w:type="dxa" w:w="1234"/>
          </w:tcPr>
          <w:p>
            <w:r>
              <w:rPr/>
              <w:t>2,600</w:t>
            </w:r>
          </w:p>
        </w:tc>
        <w:tc>
          <w:tcPr>
            <w:tcW w:type="dxa" w:w="1234"/>
          </w:tcPr>
          <w:p>
            <w:r>
              <w:rPr>
                <w:highlight w:val="yellow"/>
              </w:rPr>
              <w:t>2025-05-03 → 2025-04-05</w:t>
            </w:r>
          </w:p>
        </w:tc>
        <w:tc>
          <w:tcPr>
            <w:tcW w:type="dxa" w:w="1234"/>
          </w:tcPr>
          <w:p>
            <w:r>
              <w:rPr/>
              <w:t>2025-09-06</w:t>
            </w:r>
          </w:p>
        </w:tc>
      </w:tr>
      <w:tr>
        <w:tc>
          <w:tcPr>
            <w:tcW w:type="dxa" w:w="1234"/>
          </w:tcPr>
          <w:p>
            <w:r>
              <w:rPr/>
              <w:t>GasketKit</w:t>
            </w:r>
          </w:p>
        </w:tc>
        <w:tc>
          <w:tcPr>
            <w:tcW w:type="dxa" w:w="1234"/>
          </w:tcPr>
          <w:p>
            <w:r>
              <w:rPr/>
              <w:t>520003</w:t>
            </w:r>
          </w:p>
        </w:tc>
        <w:tc>
          <w:tcPr>
            <w:tcW w:type="dxa" w:w="1234"/>
          </w:tcPr>
          <w:p>
            <w:r>
              <w:rPr/>
              <w:t>High</w:t>
            </w:r>
          </w:p>
        </w:tc>
        <w:tc>
          <w:tcPr>
            <w:tcW w:type="dxa" w:w="1234"/>
          </w:tcPr>
          <w:p>
            <w:r>
              <w:rPr/>
              <w:t>24</w:t>
            </w:r>
          </w:p>
        </w:tc>
        <w:tc>
          <w:tcPr>
            <w:tcW w:type="dxa" w:w="1234"/>
          </w:tcPr>
          <w:p>
            <w:r>
              <w:rPr>
                <w:highlight w:val="yellow"/>
              </w:rPr>
              <w:t>5,200 → 7,800</w:t>
            </w:r>
          </w:p>
        </w:tc>
        <w:tc>
          <w:tcPr>
            <w:tcW w:type="dxa" w:w="1234"/>
          </w:tcPr>
          <w:p>
            <w:r>
              <w:rPr>
                <w:highlight w:val="yellow"/>
              </w:rPr>
              <w:t>2025-05-17 → 2025-04-19</w:t>
            </w:r>
          </w:p>
        </w:tc>
        <w:tc>
          <w:tcPr>
            <w:tcW w:type="dxa" w:w="1234"/>
          </w:tcPr>
          <w:p>
            <w:r>
              <w:rPr/>
              <w:t>2025-09-20</w:t>
            </w:r>
          </w:p>
        </w:tc>
      </w:tr>
      <w:tr>
        <w:tc>
          <w:tcPr>
            <w:tcW w:type="dxa" w:w="1234"/>
          </w:tcPr>
          <w:p>
            <w:r>
              <w:rPr/>
              <w:t>PistonRing</w:t>
            </w:r>
          </w:p>
        </w:tc>
        <w:tc>
          <w:tcPr>
            <w:tcW w:type="dxa" w:w="1234"/>
          </w:tcPr>
          <w:p>
            <w:r>
              <w:rPr/>
              <w:t>520004</w:t>
            </w:r>
          </w:p>
        </w:tc>
        <w:tc>
          <w:tcPr>
            <w:tcW w:type="dxa" w:w="1234"/>
          </w:tcPr>
          <w:p>
            <w:r>
              <w:rPr/>
              <w:t>Medium</w:t>
            </w:r>
          </w:p>
        </w:tc>
        <w:tc>
          <w:tcPr>
            <w:tcW w:type="dxa" w:w="1234"/>
          </w:tcPr>
          <w:p>
            <w:r>
              <w:rPr/>
              <w:t>30</w:t>
            </w:r>
          </w:p>
        </w:tc>
        <w:tc>
          <w:tcPr>
            <w:tcW w:type="dxa" w:w="1234"/>
          </w:tcPr>
          <w:p>
            <w:r>
              <w:rPr/>
              <w:t>1,300</w:t>
            </w:r>
          </w:p>
        </w:tc>
        <w:tc>
          <w:tcPr>
            <w:tcW w:type="dxa" w:w="1234"/>
          </w:tcPr>
          <w:p>
            <w:r>
              <w:rPr>
                <w:highlight w:val="yellow"/>
              </w:rPr>
              <w:t>2025-06-28 → 2025-05-31</w:t>
            </w:r>
          </w:p>
        </w:tc>
        <w:tc>
          <w:tcPr>
            <w:tcW w:type="dxa" w:w="1234"/>
          </w:tcPr>
          <w:p>
            <w:r>
              <w:rPr/>
              <w:t>2025-11-01</w:t>
            </w:r>
          </w:p>
        </w:tc>
      </w:tr>
    </w:tbl>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