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Please check</w:t>
      </w:r>
    </w:p>
    <w:p>
      <w:r>
        <w:rPr>
          <w:i/>
          <w:color w:val="C00000"/>
        </w:rPr>
        <w:t>- Finding 2 goes beyond the stock figures by stating that a new order cannot arrive in time, which is a judgement about this order that belongs in the actions rather than the findings.</w:t>
      </w:r>
    </w:p>
    <w:p>
      <w:r>
        <w:rPr>
          <w:i/>
          <w:color w:val="C00000"/>
        </w:rPr>
        <w:t>- Purpose and Justification could not be checked automatically; please review it.</w:t>
      </w:r>
    </w:p>
    <w:p>
      <w:r>
        <w:rPr>
          <w:i/>
          <w:color w:val="C00000"/>
        </w:rPr>
        <w:t>- The figures in Purpose and Justification could not be checked automatically; please review it.</w:t>
      </w:r>
    </w:p>
    <w:p>
      <w:r>
        <w:rPr>
          <w:i/>
          <w:color w:val="C00000"/>
        </w:rPr>
        <w:t>- The wording of Purpose and Justification could not be checked automatically; please review it.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KestrelComponents:</w:t>
      </w:r>
    </w:p>
    <w:p>
      <w:r>
        <w:rPr>
          <w:i/>
          <w:color w:val="C00000"/>
        </w:rPr>
        <w:t>1. How will the extended lead times due to the plant move affect the delivery schedule for BearingCap, ValveSeat, GasketKit, PistonRing, and OilSeal?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GasketKit demand expected to continue beyond the current contract?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Arrange expedited shipping or alternative sourcing for BearingCap to bridge the 6-week gap.</w:t>
      </w:r>
    </w:p>
    <w:p>
      <w:r>
        <w:rPr>
          <w:i/>
          <w:color w:val="C00000"/>
        </w:rPr>
        <w:t>2. Confirm the impact of the extended lead times on all items with KestrelComponents.</w:t>
      </w:r>
    </w:p>
    <w:p>
      <w:r>
        <w:rPr>
          <w:i/>
          <w:color w:val="C00000"/>
        </w:rPr>
        <w:t>3. Review and adjust the GasketKit order quantity to account for the increased demand.</w:t>
      </w:r>
    </w:p>
    <w:p/>
    <w:p>
      <w:pPr>
        <w:pStyle w:val="Title"/>
      </w:pPr>
      <w:r>
        <w:rPr/>
        <w:t>Purchase Request — KestrelComponents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2026-10-23_173030_split-checks-j8-j11-field-level-rewrite</w:t>
      </w:r>
    </w:p>
    <w:p/>
    <w:p>
      <w:pPr>
        <w:pStyle w:val="Heading1"/>
      </w:pPr>
      <w:r>
        <w:rPr/>
        <w:t>Purpose</w:t>
      </w:r>
    </w:p>
    <w:p/>
    <w:p>
      <w:r>
        <w:rPr/>
        <w:t>This request seeks approval to purchase BearingCap, ValveSeat, GasketKit, and PistonRing from KestrelComponents to address imminent stockouts and increased demand.</w:t>
      </w:r>
    </w:p>
    <w:p/>
    <w:p>
      <w:pPr>
        <w:pStyle w:val="Heading1"/>
      </w:pPr>
      <w:r>
        <w:rPr/>
        <w:t>Justification</w:t>
      </w:r>
    </w:p>
    <w:p/>
    <w:p>
      <w:r>
        <w:rPr/>
        <w:t>The BearingCap is projected to run out six weeks before a new order can arrive, necessitating expedited shipping or alternative sourcing to bridge this gap. The order dates for ValveSeat, GasketKit, and PistonRing have been adjusted to account for a four-week increase in lead times due to KestrelComponents' plant move to Gdansk, which is expected to last until the end of 2025 [1]. Additionally, the GasketKit order quantity has been increased by 50% to meet the higher demand resulting from a new contract for monthly deliveries until December 2027 [2]. Approval is contingent upon confirming the impact of the extended lead times on all items with KestrelComponents.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BearingCap</w:t>
            </w:r>
          </w:p>
        </w:tc>
        <w:tc>
          <w:tcPr>
            <w:tcW w:type="dxa" w:w="1234"/>
          </w:tcPr>
          <w:p>
            <w:r>
              <w:rPr/>
              <w:t>520001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12</w:t>
            </w:r>
          </w:p>
        </w:tc>
        <w:tc>
          <w:tcPr>
            <w:tcW w:type="dxa" w:w="1234"/>
          </w:tcPr>
          <w:p>
            <w:r>
              <w:rPr/>
              <w:t>1,300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2025-04-05 → 2025-04-05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</w:tr>
      <w:tr>
        <w:tc>
          <w:tcPr>
            <w:tcW w:type="dxa" w:w="1234"/>
          </w:tcPr>
          <w:p>
            <w:r>
              <w:rPr/>
              <w:t>ValveSeat</w:t>
            </w:r>
          </w:p>
        </w:tc>
        <w:tc>
          <w:tcPr>
            <w:tcW w:type="dxa" w:w="1234"/>
          </w:tcPr>
          <w:p>
            <w:r>
              <w:rPr/>
              <w:t>520002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22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2025-05-03 → 2025-04-05</w:t>
            </w:r>
          </w:p>
        </w:tc>
        <w:tc>
          <w:tcPr>
            <w:tcW w:type="dxa" w:w="1234"/>
          </w:tcPr>
          <w:p>
            <w:r>
              <w:rPr/>
              <w:t>2025-09-06</w:t>
            </w:r>
          </w:p>
        </w:tc>
      </w:tr>
      <w:tr>
        <w:tc>
          <w:tcPr>
            <w:tcW w:type="dxa" w:w="1234"/>
          </w:tcPr>
          <w:p>
            <w:r>
              <w:rPr/>
              <w:t>GasketKit</w:t>
            </w:r>
          </w:p>
        </w:tc>
        <w:tc>
          <w:tcPr>
            <w:tcW w:type="dxa" w:w="1234"/>
          </w:tcPr>
          <w:p>
            <w:r>
              <w:rPr/>
              <w:t>520003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24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5,200 → 7,800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2025-05-17 → 2025-04-19</w:t>
            </w:r>
          </w:p>
        </w:tc>
        <w:tc>
          <w:tcPr>
            <w:tcW w:type="dxa" w:w="1234"/>
          </w:tcPr>
          <w:p>
            <w:r>
              <w:rPr/>
              <w:t>2025-09-20</w:t>
            </w:r>
          </w:p>
        </w:tc>
      </w:tr>
      <w:tr>
        <w:tc>
          <w:tcPr>
            <w:tcW w:type="dxa" w:w="1234"/>
          </w:tcPr>
          <w:p>
            <w:r>
              <w:rPr/>
              <w:t>PistonRing</w:t>
            </w:r>
          </w:p>
        </w:tc>
        <w:tc>
          <w:tcPr>
            <w:tcW w:type="dxa" w:w="1234"/>
          </w:tcPr>
          <w:p>
            <w:r>
              <w:rPr/>
              <w:t>520004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1,300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2025-06-28 → 2025-05-31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kestrel_lead_time_notice_2025-03.docx</w:t>
            </w:r>
          </w:p>
        </w:tc>
        <w:tc>
          <w:tcPr>
            <w:tcW w:type="dxa" w:w="2160"/>
          </w:tcPr>
          <w:p>
            <w:r>
              <w:rPr/>
              <w:t>2025-03-10</w:t>
            </w:r>
          </w:p>
        </w:tc>
        <w:tc>
          <w:tcPr>
            <w:tcW w:type="dxa" w:w="2160"/>
          </w:tcPr>
          <w:p>
            <w:r>
              <w:rPr/>
              <w:t>KestrelComponents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gasketkit_contract_2025-02.docx</w:t>
            </w:r>
          </w:p>
        </w:tc>
        <w:tc>
          <w:tcPr>
            <w:tcW w:type="dxa" w:w="2160"/>
          </w:tcPr>
          <w:p>
            <w:r>
              <w:rPr/>
              <w:t>2025-02-20</w:t>
            </w:r>
          </w:p>
        </w:tc>
        <w:tc>
          <w:tcPr>
            <w:tcW w:type="dxa" w:w="2160"/>
          </w:tcPr>
          <w:p>
            <w:r>
              <w:rPr/>
              <w:t>GasketKit (any supplier)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