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Please check</w:t>
      </w:r>
    </w:p>
    <w:p>
      <w:r>
        <w:rPr>
          <w:i/>
          <w:color w:val="C00000"/>
        </w:rPr>
        <w:t>- The purpose calls the stockouts imminent, but the input shows stockouts 12 to 30 weeks away and no expected stockout for three of the four items, so that urgency is overstated.</w:t>
      </w:r>
    </w:p>
    <w:p/>
    <w:p>
      <w:r>
        <w:rPr>
          <w:b/>
          <w:i/>
          <w:color w:val="C00000"/>
        </w:rPr>
        <w:t>Critical Questions</w:t>
      </w:r>
    </w:p>
    <w:p>
      <w:r>
        <w:rPr>
          <w:i/>
          <w:color w:val="C00000"/>
        </w:rPr>
        <w:t>Ask KestrelComponents:</w:t>
      </w:r>
    </w:p>
    <w:p>
      <w:r>
        <w:rPr>
          <w:i/>
          <w:color w:val="C00000"/>
        </w:rPr>
        <w:t>1. How will the extended lead times due to the plant move affect the delivery of BearingCap, ValveSeat, GasketKit, PistonRing, and OilSeal in this order?</w:t>
      </w:r>
    </w:p>
    <w:p>
      <w:r>
        <w:rPr>
          <w:i/>
          <w:color w:val="C00000"/>
        </w:rPr>
        <w:t>Check internally:</w:t>
      </w:r>
    </w:p>
    <w:p>
      <w:r>
        <w:rPr>
          <w:i/>
          <w:color w:val="C00000"/>
        </w:rPr>
        <w:t>2. Is the increased GasketKit demand expected to continue beyond the current contract?</w:t>
      </w:r>
    </w:p>
    <w:p/>
    <w:p>
      <w:r>
        <w:rPr>
          <w:b/>
          <w:i/>
          <w:color w:val="C00000"/>
        </w:rPr>
        <w:t>Recommended Actions</w:t>
      </w:r>
    </w:p>
    <w:p>
      <w:r>
        <w:rPr>
          <w:i/>
          <w:color w:val="C00000"/>
        </w:rPr>
        <w:t>1. Ask KestrelComponents for expedited shipping of BearingCap, or cover it from an alternative source, to bridge the 6-week gap.</w:t>
      </w:r>
    </w:p>
    <w:p>
      <w:r>
        <w:rPr>
          <w:i/>
          <w:color w:val="C00000"/>
        </w:rPr>
        <w:t>2. Confirm delivery dates for this order with KestrelComponents, given the extended lead times due to the plant move.</w:t>
      </w:r>
    </w:p>
    <w:p>
      <w:r>
        <w:rPr>
          <w:i/>
          <w:color w:val="C00000"/>
        </w:rPr>
        <w:t>3. Review the GasketKit order quantity to ensure it meets the increased demand from the new contract.</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2026-10-23_173704_evaluation-document-as-a-checklist-with-run-id-and</w:t>
      </w:r>
    </w:p>
    <w:p/>
    <w:p>
      <w:pPr>
        <w:pStyle w:val="Heading1"/>
      </w:pPr>
      <w:r>
        <w:rPr/>
        <w:t>Purpose</w:t>
      </w:r>
    </w:p>
    <w:p/>
    <w:p>
      <w:r>
        <w:rPr/>
        <w:t>This request seeks approval to purchase BearingCap, ValveSeat, GasketKit, and PistonRing from KestrelComponents to address imminent stockouts and increased demand.</w:t>
      </w:r>
    </w:p>
    <w:p/>
    <w:p>
      <w:pPr>
        <w:pStyle w:val="Heading1"/>
      </w:pPr>
      <w:r>
        <w:rPr/>
        <w:t>Justification</w:t>
      </w:r>
    </w:p>
    <w:p/>
    <w:p>
      <w:r>
        <w:rPr/>
        <w:t>Approval is needed to adjust the order dates and quantities due to KestrelComponents' announcement of a four-week increase in lead times, effective from 1 April 2025, as they transition production to a new plant in Gdansk [1]. The BearingCap is critical, with a six-week stockout expected before new stock arrives, necessitating expedited shipping or sourcing from an alternative supplier. The GasketKit order quantity requires an increase from 5200 to 7800 units to meet a 50% rise in demand following a new contract [2]. Additionally, confirming delivery dates with KestrelComponents is essential to ensure timely fulfillment of these orders.</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BearingCap</w:t>
            </w:r>
          </w:p>
        </w:tc>
        <w:tc>
          <w:tcPr>
            <w:tcW w:type="dxa" w:w="1234"/>
          </w:tcPr>
          <w:p>
            <w:r>
              <w:rPr/>
              <w:t>520001</w:t>
            </w:r>
          </w:p>
        </w:tc>
        <w:tc>
          <w:tcPr>
            <w:tcW w:type="dxa" w:w="1234"/>
          </w:tcPr>
          <w:p>
            <w:r>
              <w:rPr>
                <w:b/>
                <w:color w:val="C00000"/>
              </w:rPr>
              <w:t>Critical</w:t>
            </w:r>
          </w:p>
        </w:tc>
        <w:tc>
          <w:tcPr>
            <w:tcW w:type="dxa" w:w="1234"/>
          </w:tcPr>
          <w:p>
            <w:r>
              <w:rPr/>
              <w:t>12</w:t>
            </w:r>
          </w:p>
        </w:tc>
        <w:tc>
          <w:tcPr>
            <w:tcW w:type="dxa" w:w="1234"/>
          </w:tcPr>
          <w:p>
            <w:r>
              <w:rPr/>
              <w:t>1,300</w:t>
            </w:r>
          </w:p>
        </w:tc>
        <w:tc>
          <w:tcPr>
            <w:tcW w:type="dxa" w:w="1234"/>
          </w:tcPr>
          <w:p>
            <w:r>
              <w:rPr>
                <w:highlight w:val="yellow"/>
              </w:rPr>
              <w:t>2025-04-05 → 2025-04-05</w:t>
            </w:r>
          </w:p>
        </w:tc>
        <w:tc>
          <w:tcPr>
            <w:tcW w:type="dxa" w:w="1234"/>
          </w:tcPr>
          <w:p>
            <w:r>
              <w:rPr/>
              <w:t>2025-06-28</w:t>
            </w:r>
          </w:p>
        </w:tc>
      </w:tr>
      <w:tr>
        <w:tc>
          <w:tcPr>
            <w:tcW w:type="dxa" w:w="1234"/>
          </w:tcPr>
          <w:p>
            <w:r>
              <w:rPr/>
              <w:t>ValveSeat</w:t>
            </w:r>
          </w:p>
        </w:tc>
        <w:tc>
          <w:tcPr>
            <w:tcW w:type="dxa" w:w="1234"/>
          </w:tcPr>
          <w:p>
            <w:r>
              <w:rPr/>
              <w:t>520002</w:t>
            </w:r>
          </w:p>
        </w:tc>
        <w:tc>
          <w:tcPr>
            <w:tcW w:type="dxa" w:w="1234"/>
          </w:tcPr>
          <w:p>
            <w:r>
              <w:rPr/>
              <w:t>High</w:t>
            </w:r>
          </w:p>
        </w:tc>
        <w:tc>
          <w:tcPr>
            <w:tcW w:type="dxa" w:w="1234"/>
          </w:tcPr>
          <w:p>
            <w:r>
              <w:rPr/>
              <w:t>22</w:t>
            </w:r>
          </w:p>
        </w:tc>
        <w:tc>
          <w:tcPr>
            <w:tcW w:type="dxa" w:w="1234"/>
          </w:tcPr>
          <w:p>
            <w:r>
              <w:rPr/>
              <w:t>2,600</w:t>
            </w:r>
          </w:p>
        </w:tc>
        <w:tc>
          <w:tcPr>
            <w:tcW w:type="dxa" w:w="1234"/>
          </w:tcPr>
          <w:p>
            <w:r>
              <w:rPr>
                <w:highlight w:val="yellow"/>
              </w:rPr>
              <w:t>2025-05-03 → 2025-04-05</w:t>
            </w:r>
          </w:p>
        </w:tc>
        <w:tc>
          <w:tcPr>
            <w:tcW w:type="dxa" w:w="1234"/>
          </w:tcPr>
          <w:p>
            <w:r>
              <w:rPr/>
              <w:t>2025-09-06</w:t>
            </w:r>
          </w:p>
        </w:tc>
      </w:tr>
      <w:tr>
        <w:tc>
          <w:tcPr>
            <w:tcW w:type="dxa" w:w="1234"/>
          </w:tcPr>
          <w:p>
            <w:r>
              <w:rPr/>
              <w:t>GasketKit</w:t>
            </w:r>
          </w:p>
        </w:tc>
        <w:tc>
          <w:tcPr>
            <w:tcW w:type="dxa" w:w="1234"/>
          </w:tcPr>
          <w:p>
            <w:r>
              <w:rPr/>
              <w:t>520003</w:t>
            </w:r>
          </w:p>
        </w:tc>
        <w:tc>
          <w:tcPr>
            <w:tcW w:type="dxa" w:w="1234"/>
          </w:tcPr>
          <w:p>
            <w:r>
              <w:rPr/>
              <w:t>High</w:t>
            </w:r>
          </w:p>
        </w:tc>
        <w:tc>
          <w:tcPr>
            <w:tcW w:type="dxa" w:w="1234"/>
          </w:tcPr>
          <w:p>
            <w:r>
              <w:rPr/>
              <w:t>24</w:t>
            </w:r>
          </w:p>
        </w:tc>
        <w:tc>
          <w:tcPr>
            <w:tcW w:type="dxa" w:w="1234"/>
          </w:tcPr>
          <w:p>
            <w:r>
              <w:rPr>
                <w:highlight w:val="yellow"/>
              </w:rPr>
              <w:t>5,200 → 7,800</w:t>
            </w:r>
          </w:p>
        </w:tc>
        <w:tc>
          <w:tcPr>
            <w:tcW w:type="dxa" w:w="1234"/>
          </w:tcPr>
          <w:p>
            <w:r>
              <w:rPr>
                <w:highlight w:val="yellow"/>
              </w:rPr>
              <w:t>2025-05-17 → 2025-04-19</w:t>
            </w:r>
          </w:p>
        </w:tc>
        <w:tc>
          <w:tcPr>
            <w:tcW w:type="dxa" w:w="1234"/>
          </w:tcPr>
          <w:p>
            <w:r>
              <w:rPr/>
              <w:t>2025-09-20</w:t>
            </w:r>
          </w:p>
        </w:tc>
      </w:tr>
      <w:tr>
        <w:tc>
          <w:tcPr>
            <w:tcW w:type="dxa" w:w="1234"/>
          </w:tcPr>
          <w:p>
            <w:r>
              <w:rPr/>
              <w:t>PistonRing</w:t>
            </w:r>
          </w:p>
        </w:tc>
        <w:tc>
          <w:tcPr>
            <w:tcW w:type="dxa" w:w="1234"/>
          </w:tcPr>
          <w:p>
            <w:r>
              <w:rPr/>
              <w:t>520004</w:t>
            </w:r>
          </w:p>
        </w:tc>
        <w:tc>
          <w:tcPr>
            <w:tcW w:type="dxa" w:w="1234"/>
          </w:tcPr>
          <w:p>
            <w:r>
              <w:rPr/>
              <w:t>Medium</w:t>
            </w:r>
          </w:p>
        </w:tc>
        <w:tc>
          <w:tcPr>
            <w:tcW w:type="dxa" w:w="1234"/>
          </w:tcPr>
          <w:p>
            <w:r>
              <w:rPr/>
              <w:t>30</w:t>
            </w:r>
          </w:p>
        </w:tc>
        <w:tc>
          <w:tcPr>
            <w:tcW w:type="dxa" w:w="1234"/>
          </w:tcPr>
          <w:p>
            <w:r>
              <w:rPr/>
              <w:t>1,300</w:t>
            </w:r>
          </w:p>
        </w:tc>
        <w:tc>
          <w:tcPr>
            <w:tcW w:type="dxa" w:w="1234"/>
          </w:tcPr>
          <w:p>
            <w:r>
              <w:rPr>
                <w:highlight w:val="yellow"/>
              </w:rPr>
              <w:t>2025-06-28 → 2025-05-31</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