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NordicFasteners:</w:t>
      </w:r>
    </w:p>
    <w:p>
      <w:r>
        <w:rPr>
          <w:i/>
          <w:color w:val="C00000"/>
        </w:rPr>
        <w:t>1. Has the customs documentation process been fully resolved to prevent future shipment delays, and could it affect HexBoltM12, WasherSteel, AnchorPlug, or CableTie in this order?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WasherSteel demand expected to continue with the new construction customer?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Ask NordicFasteners for expedited shipping of HexBoltM12, or cover it from an alternative source, to bridge the 9-week gap.</w:t>
      </w:r>
    </w:p>
    <w:p>
      <w:r>
        <w:rPr>
          <w:i/>
          <w:color w:val="C00000"/>
        </w:rPr>
        <w:t>2. Confirm delivery dates for this order with NordicFasteners before placing it, given the previous customs delay.</w:t>
      </w:r>
    </w:p>
    <w:p>
      <w:r>
        <w:rPr>
          <w:i/>
          <w:color w:val="C00000"/>
        </w:rPr>
        <w:t>3. Evaluate whether the WasherSteel order should be larger than suggested, considering the 60% demand increase.</w:t>
      </w:r>
    </w:p>
    <w:p/>
    <w:p>
      <w:pPr>
        <w:pStyle w:val="Title"/>
      </w:pPr>
      <w:r>
        <w:rPr/>
        <w:t>Purchase Request — NordicFasteners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v5-test-1</w:t>
      </w:r>
    </w:p>
    <w:p/>
    <w:p>
      <w:pPr>
        <w:pStyle w:val="Heading1"/>
      </w:pPr>
      <w:r>
        <w:rPr/>
        <w:t>Purpose</w:t>
      </w:r>
    </w:p>
    <w:p/>
    <w:p>
      <w:r>
        <w:rPr/>
        <w:t>Approval is requested to purchase HexBoltM12, WasherSteel, and AnchorPlug from NordicFasteners to address critical and high-risk stock levels and meet increased demand.</w:t>
      </w:r>
    </w:p>
    <w:p/>
    <w:p>
      <w:pPr>
        <w:pStyle w:val="Heading1"/>
      </w:pPr>
      <w:r>
        <w:rPr/>
        <w:t>Justification</w:t>
      </w:r>
    </w:p>
    <w:p/>
    <w:p>
      <w:r>
        <w:rPr/>
        <w:t>The HexBoltM12 is at a critical risk level, with a projected stockout gap of 9 weeks, necessitating immediate action to prevent operational disruptions. Demand for WasherSteel has surged by approximately 60% since January 2025 due to a new construction customer, indicating a potential need for a larger order than initially suggested [1]. Although NordicFasteners experienced a four-week shipment delay in November 2024 due to customs documentation errors, they have since revised their export paperwork preparation [2]. Additionally, a previous batch of AnchorPlug had a 3% defect rate, but replacements were promptly provided within two weeks [3]. It is recommended to confirm delivery dates with NordicFasteners before placing the order to mitigate any potential delays.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HexBoltM12</w:t>
            </w:r>
          </w:p>
        </w:tc>
        <w:tc>
          <w:tcPr>
            <w:tcW w:type="dxa" w:w="1234"/>
          </w:tcPr>
          <w:p>
            <w:r>
              <w:rPr/>
              <w:t>410001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9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2025-04-05 (overdue)</w:t>
            </w:r>
          </w:p>
        </w:tc>
        <w:tc>
          <w:tcPr>
            <w:tcW w:type="dxa" w:w="1234"/>
          </w:tcPr>
          <w:p>
            <w:r>
              <w:rPr/>
              <w:t>2025-06-07</w:t>
            </w:r>
          </w:p>
        </w:tc>
      </w:tr>
      <w:tr>
        <w:tc>
          <w:tcPr>
            <w:tcW w:type="dxa" w:w="1234"/>
          </w:tcPr>
          <w:p>
            <w:r>
              <w:rPr/>
              <w:t>WasherSteel</w:t>
            </w:r>
          </w:p>
        </w:tc>
        <w:tc>
          <w:tcPr>
            <w:tcW w:type="dxa" w:w="1234"/>
          </w:tcPr>
          <w:p>
            <w:r>
              <w:rPr/>
              <w:t>410002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2025-04-19</w:t>
            </w:r>
          </w:p>
        </w:tc>
        <w:tc>
          <w:tcPr>
            <w:tcW w:type="dxa" w:w="1234"/>
          </w:tcPr>
          <w:p>
            <w:r>
              <w:rPr/>
              <w:t>2025-08-23</w:t>
            </w:r>
          </w:p>
        </w:tc>
      </w:tr>
      <w:tr>
        <w:tc>
          <w:tcPr>
            <w:tcW w:type="dxa" w:w="1234"/>
          </w:tcPr>
          <w:p>
            <w:r>
              <w:rPr/>
              <w:t>AnchorPlug</w:t>
            </w:r>
          </w:p>
        </w:tc>
        <w:tc>
          <w:tcPr>
            <w:tcW w:type="dxa" w:w="1234"/>
          </w:tcPr>
          <w:p>
            <w:r>
              <w:rPr/>
              <w:t>410003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anchorplug_batch_2024-12.docx</w:t>
            </w:r>
          </w:p>
        </w:tc>
        <w:tc>
          <w:tcPr>
            <w:tcW w:type="dxa" w:w="2160"/>
          </w:tcPr>
          <w:p>
            <w:r>
              <w:rPr/>
              <w:t>2025-01-08</w:t>
            </w:r>
          </w:p>
        </w:tc>
        <w:tc>
          <w:tcPr>
            <w:tcW w:type="dxa" w:w="2160"/>
          </w:tcPr>
          <w:p>
            <w:r>
              <w:rPr/>
              <w:t>NordicFasteners — AnchorPlug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