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1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statements in findings 1, 3, 4, 5 and the summary accurately reflect history documents 1 to 4 without distortion or misattribution.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Both critical questions are grounded in the history documents (customs delay in doc 1, demand increase in doc 2).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analysis does not claim that no history is available for any item.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Question 1 asks: 'Has the customs documentation issue that delayed shipments in November 2024 been fully resolved...'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Question 2 addresses the demand increase on WasherSteel: 'Is the increased WasherSteel demand from the new construction customer expected to continue?'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While the summary names HexBoltM12 and its 9-week gap, it only states that it 'must be addressed immediately' without recommending any mitigation such as expedited shipping or an alternative source.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2 of 3 checks did not pass.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Purchase request adds nothing to its input (P1)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"promptly addressed with replacements" judges the two-week replacement duration</w:t>
            </w:r>
          </w:p>
        </w:tc>
      </w:tr>
      <w:tr>
        <w:tc>
          <w:tcPr>
            <w:tcW w:type="dxa" w:w="2880"/>
          </w:tcPr>
          <w:p>
            <w:r>
              <w:rPr/>
              <w:t>Purchase request paragraphs within length (P2)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justification has 7 sentences (2-4)</w:t>
            </w:r>
          </w:p>
        </w:tc>
      </w:tr>
      <w:tr>
        <w:tc>
          <w:tcPr>
            <w:tcW w:type="dxa" w:w="288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