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color w:val="C00000"/>
        </w:rPr>
        <w:t>Draft — to be revised once the questions and actions below are resolved, with current quantities, dates and figures. Delete this note and everything in red before submitting.</w:t>
      </w:r>
    </w:p>
    <w:p/>
    <w:p>
      <w:r>
        <w:rPr>
          <w:b/>
          <w:i/>
          <w:color w:val="C00000"/>
        </w:rPr>
        <w:t>Critical Questions</w:t>
      </w:r>
    </w:p>
    <w:p>
      <w:r>
        <w:rPr>
          <w:i/>
          <w:color w:val="C00000"/>
        </w:rPr>
        <w:t>Ask NordicFasteners:</w:t>
      </w:r>
    </w:p>
    <w:p>
      <w:r>
        <w:rPr>
          <w:i/>
          <w:color w:val="C00000"/>
        </w:rPr>
        <w:t>1. Has the customs documentation issue that delayed shipments in November 2024 been fully resolved, and could it affect HexBoltM12, WasherSteel, AnchorPlug, or CableTie in this order?</w:t>
      </w:r>
    </w:p>
    <w:p>
      <w:r>
        <w:rPr>
          <w:i/>
          <w:color w:val="C00000"/>
        </w:rPr>
        <w:t>Check internally:</w:t>
      </w:r>
    </w:p>
    <w:p>
      <w:r>
        <w:rPr>
          <w:i/>
          <w:color w:val="C00000"/>
        </w:rPr>
        <w:t>2. Is the increased WasherSteel demand expected to continue at the current level?</w:t>
      </w:r>
    </w:p>
    <w:p/>
    <w:p>
      <w:r>
        <w:rPr>
          <w:b/>
          <w:i/>
          <w:color w:val="C00000"/>
        </w:rPr>
        <w:t>Recommended Actions</w:t>
      </w:r>
    </w:p>
    <w:p>
      <w:r>
        <w:rPr>
          <w:i/>
          <w:color w:val="C00000"/>
        </w:rPr>
        <w:t>1. Ask NordicFasteners for expedited shipping of HexBoltM12, or cover it from an alternative source, to bridge the 9-week gap.</w:t>
      </w:r>
    </w:p>
    <w:p>
      <w:r>
        <w:rPr>
          <w:i/>
          <w:color w:val="C00000"/>
        </w:rPr>
        <w:t>2. Confirm delivery dates for this order with NordicFasteners before placing it, given the previous customs delay.</w:t>
      </w:r>
    </w:p>
    <w:p>
      <w:r>
        <w:rPr>
          <w:i/>
          <w:color w:val="C00000"/>
        </w:rPr>
        <w:t>3. Evaluate whether the WasherSteel order should be larger than suggested, considering the 60% demand increase.</w:t>
      </w:r>
    </w:p>
    <w:p/>
    <w:p>
      <w:pPr>
        <w:pStyle w:val="Title"/>
      </w:pPr>
      <w:r>
        <w:rPr/>
        <w:t>Purchase Request — NordicFasteners</w:t>
      </w:r>
    </w:p>
    <w:p/>
    <w:p>
      <w:r>
        <w:rPr/>
        <w:t>Request date: 2025-04-06</w:t>
      </w:r>
    </w:p>
    <w:p/>
    <w:p>
      <w:r>
        <w:rPr/>
        <w:t xml:space="preserve">Requested by: </w:t>
      </w:r>
      <w:r>
        <w:rPr>
          <w:i/>
        </w:rPr>
        <w:t>[Your name here]</w:t>
      </w:r>
    </w:p>
    <w:p/>
    <w:p>
      <w:r>
        <w:rPr/>
        <w:t>Analysis reference: run v5-test-5</w:t>
      </w:r>
    </w:p>
    <w:p/>
    <w:p>
      <w:pPr>
        <w:pStyle w:val="Heading1"/>
      </w:pPr>
      <w:r>
        <w:rPr/>
        <w:t>Purpose</w:t>
      </w:r>
    </w:p>
    <w:p/>
    <w:p>
      <w:r>
        <w:rPr/>
        <w:t>This request seeks approval to purchase HexBoltM12, WasherSteel, and AnchorPlug from NordicFasteners to address current and anticipated stock requirements.</w:t>
      </w:r>
    </w:p>
    <w:p/>
    <w:p>
      <w:pPr>
        <w:pStyle w:val="Heading1"/>
      </w:pPr>
      <w:r>
        <w:rPr/>
        <w:t>Justification</w:t>
      </w:r>
    </w:p>
    <w:p/>
    <w:p>
      <w:r>
        <w:rPr/>
        <w:t>Approval is needed to order HexBoltM12 immediately due to a critical risk of stockout, with a 9-week gap expected before new stock arrives. To mitigate this, expedited shipping from NordicFasteners or sourcing from an alternative supplier is recommended. Additionally, the WasherSteel order should be evaluated for a potential increase in quantity due to a 60% rise in demand from a new construction customer [1]. Before placing the order, it is essential to confirm delivery dates with NordicFasteners, considering a previous customs delay that held shipments for four weeks in November 2024 [2].</w:t>
      </w:r>
    </w:p>
    <w:p/>
    <w:p>
      <w:pPr>
        <w:pStyle w:val="Heading1"/>
      </w:pPr>
      <w:r>
        <w:rPr/>
        <w:t>Items Requested (snapshot 2025-04-05)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Weeks to stockout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Quantity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Order by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Deliver by</w:t>
            </w:r>
          </w:p>
        </w:tc>
      </w:tr>
      <w:tr>
        <w:tc>
          <w:tcPr>
            <w:tcW w:type="dxa" w:w="1234"/>
          </w:tcPr>
          <w:p>
            <w:r>
              <w:rPr/>
              <w:t>HexBoltM12</w:t>
            </w:r>
          </w:p>
        </w:tc>
        <w:tc>
          <w:tcPr>
            <w:tcW w:type="dxa" w:w="1234"/>
          </w:tcPr>
          <w:p>
            <w:r>
              <w:rPr/>
              <w:t>410001</w:t>
            </w:r>
          </w:p>
        </w:tc>
        <w:tc>
          <w:tcPr>
            <w:tcW w:type="dxa" w:w="1234"/>
          </w:tcPr>
          <w:p>
            <w:r>
              <w:rPr>
                <w:b/>
                <w:color w:val="C00000"/>
              </w:rPr>
              <w:t>Critical</w:t>
            </w:r>
          </w:p>
        </w:tc>
        <w:tc>
          <w:tcPr>
            <w:tcW w:type="dxa" w:w="1234"/>
          </w:tcPr>
          <w:p>
            <w:r>
              <w:rPr/>
              <w:t>9</w:t>
            </w:r>
          </w:p>
        </w:tc>
        <w:tc>
          <w:tcPr>
            <w:tcW w:type="dxa" w:w="1234"/>
          </w:tcPr>
          <w:p>
            <w:r>
              <w:rPr/>
              <w:t>2,600</w:t>
            </w:r>
          </w:p>
        </w:tc>
        <w:tc>
          <w:tcPr>
            <w:tcW w:type="dxa" w:w="1234"/>
          </w:tcPr>
          <w:p>
            <w:r>
              <w:rPr/>
              <w:t>2025-04-05 (overdue)</w:t>
            </w:r>
          </w:p>
        </w:tc>
        <w:tc>
          <w:tcPr>
            <w:tcW w:type="dxa" w:w="1234"/>
          </w:tcPr>
          <w:p>
            <w:r>
              <w:rPr/>
              <w:t>2025-06-07</w:t>
            </w:r>
          </w:p>
        </w:tc>
      </w:tr>
      <w:tr>
        <w:tc>
          <w:tcPr>
            <w:tcW w:type="dxa" w:w="1234"/>
          </w:tcPr>
          <w:p>
            <w:r>
              <w:rPr/>
              <w:t>WasherSteel</w:t>
            </w:r>
          </w:p>
        </w:tc>
        <w:tc>
          <w:tcPr>
            <w:tcW w:type="dxa" w:w="1234"/>
          </w:tcPr>
          <w:p>
            <w:r>
              <w:rPr/>
              <w:t>410002</w:t>
            </w:r>
          </w:p>
        </w:tc>
        <w:tc>
          <w:tcPr>
            <w:tcW w:type="dxa" w:w="1234"/>
          </w:tcPr>
          <w:p>
            <w:r>
              <w:rPr/>
              <w:t>High</w:t>
            </w:r>
          </w:p>
        </w:tc>
        <w:tc>
          <w:tcPr>
            <w:tcW w:type="dxa" w:w="1234"/>
          </w:tcPr>
          <w:p>
            <w:r>
              <w:rPr/>
              <w:t>20</w:t>
            </w:r>
          </w:p>
        </w:tc>
        <w:tc>
          <w:tcPr>
            <w:tcW w:type="dxa" w:w="1234"/>
          </w:tcPr>
          <w:p>
            <w:r>
              <w:rPr/>
              <w:t>2,600</w:t>
            </w:r>
          </w:p>
        </w:tc>
        <w:tc>
          <w:tcPr>
            <w:tcW w:type="dxa" w:w="1234"/>
          </w:tcPr>
          <w:p>
            <w:r>
              <w:rPr/>
              <w:t>2025-04-19</w:t>
            </w:r>
          </w:p>
        </w:tc>
        <w:tc>
          <w:tcPr>
            <w:tcW w:type="dxa" w:w="1234"/>
          </w:tcPr>
          <w:p>
            <w:r>
              <w:rPr/>
              <w:t>2025-08-23</w:t>
            </w:r>
          </w:p>
        </w:tc>
      </w:tr>
      <w:tr>
        <w:tc>
          <w:tcPr>
            <w:tcW w:type="dxa" w:w="1234"/>
          </w:tcPr>
          <w:p>
            <w:r>
              <w:rPr/>
              <w:t>AnchorPlug</w:t>
            </w:r>
          </w:p>
        </w:tc>
        <w:tc>
          <w:tcPr>
            <w:tcW w:type="dxa" w:w="1234"/>
          </w:tcPr>
          <w:p>
            <w:r>
              <w:rPr/>
              <w:t>410003</w:t>
            </w:r>
          </w:p>
        </w:tc>
        <w:tc>
          <w:tcPr>
            <w:tcW w:type="dxa" w:w="1234"/>
          </w:tcPr>
          <w:p>
            <w:r>
              <w:rPr/>
              <w:t>Medium</w:t>
            </w:r>
          </w:p>
        </w:tc>
        <w:tc>
          <w:tcPr>
            <w:tcW w:type="dxa" w:w="1234"/>
          </w:tcPr>
          <w:p>
            <w:r>
              <w:rPr/>
              <w:t>30</w:t>
            </w:r>
          </w:p>
        </w:tc>
        <w:tc>
          <w:tcPr>
            <w:tcW w:type="dxa" w:w="1234"/>
          </w:tcPr>
          <w:p>
            <w:r>
              <w:rPr/>
              <w:t>2,600</w:t>
            </w:r>
          </w:p>
        </w:tc>
        <w:tc>
          <w:tcPr>
            <w:tcW w:type="dxa" w:w="1234"/>
          </w:tcPr>
          <w:p>
            <w:r>
              <w:rPr/>
              <w:t>2025-06-28</w:t>
            </w:r>
          </w:p>
        </w:tc>
        <w:tc>
          <w:tcPr>
            <w:tcW w:type="dxa" w:w="1234"/>
          </w:tcPr>
          <w:p>
            <w:r>
              <w:rPr/>
              <w:t>2025-11-01</w:t>
            </w:r>
          </w:p>
        </w:tc>
      </w:tr>
    </w:tbl>
    <w:p/>
    <w:p/>
    <w:p>
      <w:r>
        <w:rPr/>
        <w:t>Unit price and total: to be confirmed with the supplier.</w:t>
      </w:r>
    </w:p>
    <w:p/>
    <w:p>
      <w:pPr>
        <w:pStyle w:val="Heading1"/>
      </w:pPr>
      <w:r>
        <w:rPr/>
        <w:t>Supporting Documents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About</w:t>
            </w:r>
          </w:p>
        </w:tc>
      </w:tr>
      <w:tr>
        <w:tc>
          <w:tcPr>
            <w:tcW w:type="dxa" w:w="2160"/>
          </w:tcPr>
          <w:p>
            <w:r>
              <w:rPr/>
              <w:t>1</w:t>
            </w:r>
          </w:p>
        </w:tc>
        <w:tc>
          <w:tcPr>
            <w:tcW w:type="dxa" w:w="2160"/>
          </w:tcPr>
          <w:p>
            <w:r>
              <w:rPr/>
              <w:t>washersteel_demand_2025-02.docx</w:t>
            </w:r>
          </w:p>
        </w:tc>
        <w:tc>
          <w:tcPr>
            <w:tcW w:type="dxa" w:w="2160"/>
          </w:tcPr>
          <w:p>
            <w:r>
              <w:rPr/>
              <w:t>2025-02-10</w:t>
            </w:r>
          </w:p>
        </w:tc>
        <w:tc>
          <w:tcPr>
            <w:tcW w:type="dxa" w:w="2160"/>
          </w:tcPr>
          <w:p>
            <w:r>
              <w:rPr/>
              <w:t>WasherSteel (any supplier)</w:t>
            </w:r>
          </w:p>
        </w:tc>
      </w:tr>
      <w:tr>
        <w:tc>
          <w:tcPr>
            <w:tcW w:type="dxa" w:w="2160"/>
          </w:tcPr>
          <w:p>
            <w:r>
              <w:rPr/>
              <w:t>2</w:t>
            </w:r>
          </w:p>
        </w:tc>
        <w:tc>
          <w:tcPr>
            <w:tcW w:type="dxa" w:w="2160"/>
          </w:tcPr>
          <w:p>
            <w:r>
              <w:rPr/>
              <w:t>nordic_customs_hold_2024-11.docx</w:t>
            </w:r>
          </w:p>
        </w:tc>
        <w:tc>
          <w:tcPr>
            <w:tcW w:type="dxa" w:w="2160"/>
          </w:tcPr>
          <w:p>
            <w:r>
              <w:rPr/>
              <w:t>2024-11-20</w:t>
            </w:r>
          </w:p>
        </w:tc>
        <w:tc>
          <w:tcPr>
            <w:tcW w:type="dxa" w:w="2160"/>
          </w:tcPr>
          <w:p>
            <w:r>
              <w:rPr/>
              <w:t>NordicFasteners (supplier-wide)</w:t>
            </w:r>
          </w:p>
        </w:tc>
      </w:tr>
    </w:tbl>
    <w:p/>
    <w:p/>
    <w:p>
      <w:pPr>
        <w:pStyle w:val="Heading1"/>
      </w:pPr>
      <w:r>
        <w:rPr/>
        <w:t>Approval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rPr/>
              <w:t>Purchasing Manager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/>
              <w:t>Operations Director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/>
              <w:t>Finance Officer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