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KestrelComponents:</w:t>
      </w:r>
    </w:p>
    <w:p>
      <w:r>
        <w:rPr>
          <w:i/>
          <w:color w:val="C00000"/>
        </w:rPr>
        <w:t>1. How will the extended lead times due to the plant move affect the delivery schedule for BearingCap, ValveSeat, GasketKit, PistonRing, and OilSeal?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GasketKit demand expected to continue beyond the current contract?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KestrelComponents for expedited shipping of BearingCap, or cover it from an alternative source, to bridge the 6-week gap.</w:t>
      </w:r>
    </w:p>
    <w:p>
      <w:r>
        <w:rPr>
          <w:i/>
          <w:color w:val="C00000"/>
        </w:rPr>
        <w:t>2. Confirm delivery dates for this order with KestrelComponents, given the extended lead times due to the plant move.</w:t>
      </w:r>
    </w:p>
    <w:p>
      <w:r>
        <w:rPr>
          <w:i/>
          <w:color w:val="C00000"/>
        </w:rPr>
        <w:t>3. Reassess the GasketKit order quantity to ensure it meets the increased demand from the new contract.</w:t>
      </w:r>
    </w:p>
    <w:p/>
    <w:p>
      <w:pPr>
        <w:pStyle w:val="Title"/>
      </w:pPr>
      <w:r>
        <w:rPr/>
        <w:t>Purchase Request — KestrelComponents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2026-10-23_022938_analysis-rewrite-loop-on-blocking-code-checks-haik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BearingCap, ValveSeat, GasketKit, and PistonRing from KestrelComponents to address imminent stockouts and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BearingCap immediately as it will run out before a new order can arrive, resulting in a 6-week gap [1]. The order dates for ValveSeat, GasketKit, and PistonRing have been advanced due to KestrelComponents' announcement of extended lead times by four weeks, effective from 1 April 2025, as production moves to a new plant [1]. Additionally, the quantity for GasketKit has been increased by 50% to meet the heightened demand from a new contract [2]. It is crucial to confirm delivery dates with KestrelComponents and consider expedited shipping or alternative sourcing for BearingCap to mitigate the stockout risk.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BearingCap</w:t>
            </w:r>
          </w:p>
        </w:tc>
        <w:tc>
          <w:tcPr>
            <w:tcW w:type="dxa" w:w="1234"/>
          </w:tcPr>
          <w:p>
            <w:r>
              <w:rPr/>
              <w:t>520001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12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</w:tr>
      <w:tr>
        <w:tc>
          <w:tcPr>
            <w:tcW w:type="dxa" w:w="1234"/>
          </w:tcPr>
          <w:p>
            <w:r>
              <w:rPr/>
              <w:t>ValveSeat</w:t>
            </w:r>
          </w:p>
        </w:tc>
        <w:tc>
          <w:tcPr>
            <w:tcW w:type="dxa" w:w="1234"/>
          </w:tcPr>
          <w:p>
            <w:r>
              <w:rPr/>
              <w:t>520002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2025-05-03 → 2025-04-05</w:t>
            </w:r>
          </w:p>
        </w:tc>
        <w:tc>
          <w:tcPr>
            <w:tcW w:type="dxa" w:w="1234"/>
          </w:tcPr>
          <w:p>
            <w:r>
              <w:rPr/>
              <w:t>2025-09-06</w:t>
            </w:r>
          </w:p>
        </w:tc>
      </w:tr>
      <w:tr>
        <w:tc>
          <w:tcPr>
            <w:tcW w:type="dxa" w:w="1234"/>
          </w:tcPr>
          <w:p>
            <w:r>
              <w:rPr/>
              <w:t>GasketKit</w:t>
            </w:r>
          </w:p>
        </w:tc>
        <w:tc>
          <w:tcPr>
            <w:tcW w:type="dxa" w:w="1234"/>
          </w:tcPr>
          <w:p>
            <w:r>
              <w:rPr/>
              <w:t>520003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24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5,200 → 7,800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2025-05-17 → 2025-04-19</w:t>
            </w:r>
          </w:p>
        </w:tc>
        <w:tc>
          <w:tcPr>
            <w:tcW w:type="dxa" w:w="1234"/>
          </w:tcPr>
          <w:p>
            <w:r>
              <w:rPr/>
              <w:t>2025-09-20</w:t>
            </w:r>
          </w:p>
        </w:tc>
      </w:tr>
      <w:tr>
        <w:tc>
          <w:tcPr>
            <w:tcW w:type="dxa" w:w="1234"/>
          </w:tcPr>
          <w:p>
            <w:r>
              <w:rPr/>
              <w:t>PistonRing</w:t>
            </w:r>
          </w:p>
        </w:tc>
        <w:tc>
          <w:tcPr>
            <w:tcW w:type="dxa" w:w="1234"/>
          </w:tcPr>
          <w:p>
            <w:r>
              <w:rPr/>
              <w:t>520004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2025-06-28 → 2025-05-31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