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i/>
          <w:color w:val="C00000"/>
        </w:rPr>
        <w:t>Draft — to be revised once the questions and actions below are resolved, with current quantities, dates and figures. Delete this note and everything in red before submitting.</w:t>
      </w:r>
    </w:p>
    <w:p/>
    <w:p>
      <w:r>
        <w:rPr>
          <w:b/>
          <w:i/>
          <w:color w:val="C00000"/>
        </w:rPr>
        <w:t>Checks not passed — resolve before use</w:t>
      </w:r>
    </w:p>
    <w:p>
      <w:r>
        <w:rPr>
          <w:i/>
          <w:color w:val="C00000"/>
        </w:rPr>
        <w:t>- J1 (No invented or distorted history), failed: Finding 4 and the OilSeal reference cite document [3] (2024-12-15) as basis, but the output says 'OilSeal demand has been steady over the past year' — that matches the document. However, the analysis attributes document [1] (supplier-wide lead time notice) correctly. The distortion is in finding 3: the output states GasketKit demand 'has been 50% higher since January 2025 due to a fleet operator contract', while document [2] only says demand has been 50% higher since January 2025 after a fleet operator signed a contract. The output's 'until December 2027' is from the document, so no distortion there. The problem: the summary says 'surged by 50% due to a long-term contract', which is consistent. Overall no clear distortion of history, but the reference to 'Gdansk' plant and lead time extension are accurate. Failing on the BearingCap finding is not a history claim. Judging strictly: the analysis's statements about history all match the documents, so this passes on careful reading; however the recommended cover from 'alternative source' is not history. Marking pass.</w:t>
      </w:r>
    </w:p>
    <w:p>
      <w:r>
        <w:rPr>
          <w:i/>
          <w:color w:val="C00000"/>
        </w:rPr>
        <w:t>- J7 (Stock figures quoted match the input), failed: Summary and findings quote 'a 6-week gap' for BearingCap (matches expected_stockout_weeks 6). But po_date_changes and quantity_changes for 520003 give quantity 5200 → 7800 only in quantity_changes; the summary/finding 3 mention 50% demand but no quantity figure. However po_date_changes for 520002, 520003, 520004, 520005 are shown in JSON only; the text 'proposed_po_date' appears only as field values, not as '&lt;pipeline&gt; → &lt;proposed&gt;' in prose. The reason fields do not quote stock figures. Text mentions of the GasketKit quantity appear only in structured fields as original_quantity and proposed_quantity separately, not in the arrow format; a strict reading fails this format requirement.</w:t>
      </w:r>
    </w:p>
    <w:p/>
    <w:p>
      <w:r>
        <w:rPr>
          <w:b/>
          <w:i/>
          <w:color w:val="C00000"/>
        </w:rPr>
        <w:t>Warnings — please review</w:t>
      </w:r>
    </w:p>
    <w:p>
      <w:r>
        <w:rPr>
          <w:i/>
          <w:color w:val="C00000"/>
        </w:rPr>
        <w:t>- J2a (Supplier problem raised as a question), failed: Document [1] describes a supplier-wide four-week lead time increase from 1 April 2025 until end of 2025, which matters for ordering. Critical question 1 addresses it by asking supplier about delivery schedule impact, so this is addressed; passes on that reading.</w:t>
      </w:r>
    </w:p>
    <w:p>
      <w:r>
        <w:rPr>
          <w:i/>
          <w:color w:val="C00000"/>
        </w:rPr>
        <w:t>- P1 (Purchase request adds nothing to its input), failed: The text adds unsupported content: it says BearingCap 'will run out six weeks before a new order can arrive', which matches the input's finding, but it also states the request is 'to ensure continuity of supply' and 'essential to confirm' the impact; the main problem is that the justification says the order dates for ValveSeat, GasketKit, and PistonRing 'have been advanced due to a four-week increase in lead times', while the input's changes list supports this only as the stated reason, and the text presents PistonRing's date change without the input's basis. More clearly, the purpose states the request is to purchase all four items, but the input gives no approval request or purchase authorization, and the justification's 'the GasketKit order quantity has been increased by 50%' turns a demand increase into a quantity change the input records as 'from 5200 to 7800' (a 50% increase, correct). The unsupported addition is the purpose's framing of an approval request and the 'critical stockout risk' wording, which the input labels as risk level 'Critical' only for BearingCap, so the text's added assessment is supported. Overall, the purpose's claim that the request seeks approval for all four items and 'to ensure continuity of supply' is not stated in the input.</w:t>
      </w:r>
    </w:p>
    <w:p/>
    <w:p>
      <w:r>
        <w:rPr>
          <w:b/>
          <w:i/>
          <w:color w:val="C00000"/>
        </w:rPr>
        <w:t>Critical Questions</w:t>
      </w:r>
    </w:p>
    <w:p>
      <w:r>
        <w:rPr>
          <w:i/>
          <w:color w:val="C00000"/>
        </w:rPr>
        <w:t>Ask KestrelComponents:</w:t>
      </w:r>
    </w:p>
    <w:p>
      <w:r>
        <w:rPr>
          <w:i/>
          <w:color w:val="C00000"/>
        </w:rPr>
        <w:t>1. How will the extended lead times due to the plant move affect the delivery schedule for BearingCap, ValveSeat, GasketKit, PistonRing, and OilSeal?</w:t>
      </w:r>
    </w:p>
    <w:p>
      <w:r>
        <w:rPr>
          <w:i/>
          <w:color w:val="C00000"/>
        </w:rPr>
        <w:t>Check internally:</w:t>
      </w:r>
    </w:p>
    <w:p>
      <w:r>
        <w:rPr>
          <w:i/>
          <w:color w:val="C00000"/>
        </w:rPr>
        <w:t>2. Is the increased GasketKit demand expected to continue beyond the current contract?</w:t>
      </w:r>
    </w:p>
    <w:p/>
    <w:p>
      <w:r>
        <w:rPr>
          <w:b/>
          <w:i/>
          <w:color w:val="C00000"/>
        </w:rPr>
        <w:t>Recommended Actions</w:t>
      </w:r>
    </w:p>
    <w:p>
      <w:r>
        <w:rPr>
          <w:i/>
          <w:color w:val="C00000"/>
        </w:rPr>
        <w:t>1. Ask KestrelComponents for expedited shipping of BearingCap, or cover it from an alternative source, to bridge the 6-week gap.</w:t>
      </w:r>
    </w:p>
    <w:p>
      <w:r>
        <w:rPr>
          <w:i/>
          <w:color w:val="C00000"/>
        </w:rPr>
        <w:t>2. Confirm the impact of the extended lead times on the delivery schedule for all items with KestrelComponents.</w:t>
      </w:r>
    </w:p>
    <w:p>
      <w:r>
        <w:rPr>
          <w:i/>
          <w:color w:val="C00000"/>
        </w:rPr>
        <w:t>3. Reassess the GasketKit order quantity to accommodate the increased demand from the fleet operator contract.</w:t>
      </w:r>
    </w:p>
    <w:p/>
    <w:p>
      <w:pPr>
        <w:pStyle w:val="Title"/>
      </w:pPr>
      <w:r>
        <w:rPr/>
        <w:t>Purchase Request — KestrelComponents</w:t>
      </w:r>
    </w:p>
    <w:p/>
    <w:p>
      <w:r>
        <w:rPr/>
        <w:t>Request date: 2025-04-06</w:t>
      </w:r>
    </w:p>
    <w:p/>
    <w:p>
      <w:r>
        <w:rPr/>
        <w:t xml:space="preserve">Requested by: </w:t>
      </w:r>
      <w:r>
        <w:rPr>
          <w:i/>
        </w:rPr>
        <w:t>[Your name here]</w:t>
      </w:r>
    </w:p>
    <w:p/>
    <w:p>
      <w:r>
        <w:rPr/>
        <w:t>Analysis reference: run 2026-10-23_023447_check-notes-in-the-request-only-judge-answers-thro</w:t>
      </w:r>
    </w:p>
    <w:p/>
    <w:p>
      <w:pPr>
        <w:pStyle w:val="Heading1"/>
      </w:pPr>
      <w:r>
        <w:rPr/>
        <w:t>Purpose</w:t>
      </w:r>
    </w:p>
    <w:p/>
    <w:p>
      <w:r>
        <w:rPr/>
        <w:t>This request seeks approval to purchase BearingCap, ValveSeat, GasketKit, and PistonRing from KestrelComponents to ensure continuity of supply and meet increased demand.</w:t>
      </w:r>
    </w:p>
    <w:p/>
    <w:p>
      <w:pPr>
        <w:pStyle w:val="Heading1"/>
      </w:pPr>
      <w:r>
        <w:rPr/>
        <w:t>Justification</w:t>
      </w:r>
    </w:p>
    <w:p/>
    <w:p>
      <w:r>
        <w:rPr/>
        <w:t>Approval is needed to address the critical stockout risk for BearingCap, which will run out six weeks before a new order can arrive, necessitating expedited shipping or sourcing from an alternative supplier [1]. The order dates for ValveSeat, GasketKit, and PistonRing have been advanced due to a four-week increase in lead times resulting from KestrelComponents' plant move to Gdansk [1]. Additionally, the GasketKit order quantity has been increased by 50% to meet the heightened demand from a fleet operator contract [2]. It is essential to confirm the impact of the extended lead times on the delivery schedule for all items with KestrelComponents before proceeding with the order.</w:t>
      </w:r>
    </w:p>
    <w:p/>
    <w:p>
      <w:pPr>
        <w:pStyle w:val="Heading1"/>
      </w:pPr>
      <w:r>
        <w:rPr/>
        <w:t>Items Requested (snapshot 2025-04-05)</w:t>
      </w:r>
    </w:p>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Item</w:t>
            </w:r>
          </w:p>
        </w:tc>
        <w:tc>
          <w:tcPr>
            <w:tcW w:type="dxa" w:w="1234"/>
          </w:tcPr>
          <w:p>
            <w:r>
              <w:rPr>
                <w:b/>
              </w:rPr>
              <w:t>Code</w:t>
            </w:r>
          </w:p>
        </w:tc>
        <w:tc>
          <w:tcPr>
            <w:tcW w:type="dxa" w:w="1234"/>
          </w:tcPr>
          <w:p>
            <w:r>
              <w:rPr>
                <w:b/>
              </w:rPr>
              <w:t>Risk</w:t>
            </w:r>
          </w:p>
        </w:tc>
        <w:tc>
          <w:tcPr>
            <w:tcW w:type="dxa" w:w="1234"/>
          </w:tcPr>
          <w:p>
            <w:r>
              <w:rPr>
                <w:b/>
              </w:rPr>
              <w:t>Weeks to stockout</w:t>
            </w:r>
          </w:p>
        </w:tc>
        <w:tc>
          <w:tcPr>
            <w:tcW w:type="dxa" w:w="1234"/>
          </w:tcPr>
          <w:p>
            <w:r>
              <w:rPr>
                <w:b/>
              </w:rPr>
              <w:t>Quantity</w:t>
            </w:r>
          </w:p>
        </w:tc>
        <w:tc>
          <w:tcPr>
            <w:tcW w:type="dxa" w:w="1234"/>
          </w:tcPr>
          <w:p>
            <w:r>
              <w:rPr>
                <w:b/>
              </w:rPr>
              <w:t>Order by</w:t>
            </w:r>
          </w:p>
        </w:tc>
        <w:tc>
          <w:tcPr>
            <w:tcW w:type="dxa" w:w="1234"/>
          </w:tcPr>
          <w:p>
            <w:r>
              <w:rPr>
                <w:b/>
              </w:rPr>
              <w:t>Deliver by</w:t>
            </w:r>
          </w:p>
        </w:tc>
      </w:tr>
      <w:tr>
        <w:tc>
          <w:tcPr>
            <w:tcW w:type="dxa" w:w="1234"/>
          </w:tcPr>
          <w:p>
            <w:r>
              <w:rPr/>
              <w:t>BearingCap</w:t>
            </w:r>
          </w:p>
        </w:tc>
        <w:tc>
          <w:tcPr>
            <w:tcW w:type="dxa" w:w="1234"/>
          </w:tcPr>
          <w:p>
            <w:r>
              <w:rPr/>
              <w:t>520001</w:t>
            </w:r>
          </w:p>
        </w:tc>
        <w:tc>
          <w:tcPr>
            <w:tcW w:type="dxa" w:w="1234"/>
          </w:tcPr>
          <w:p>
            <w:r>
              <w:rPr>
                <w:b/>
                <w:color w:val="C00000"/>
              </w:rPr>
              <w:t>Critical</w:t>
            </w:r>
          </w:p>
        </w:tc>
        <w:tc>
          <w:tcPr>
            <w:tcW w:type="dxa" w:w="1234"/>
          </w:tcPr>
          <w:p>
            <w:r>
              <w:rPr/>
              <w:t>12</w:t>
            </w:r>
          </w:p>
        </w:tc>
        <w:tc>
          <w:tcPr>
            <w:tcW w:type="dxa" w:w="1234"/>
          </w:tcPr>
          <w:p>
            <w:r>
              <w:rPr/>
              <w:t>1,300</w:t>
            </w:r>
          </w:p>
        </w:tc>
        <w:tc>
          <w:tcPr>
            <w:tcW w:type="dxa" w:w="1234"/>
          </w:tcPr>
          <w:p>
            <w:r>
              <w:rPr/>
              <w:t>2025-04-05 (overdue)</w:t>
            </w:r>
          </w:p>
        </w:tc>
        <w:tc>
          <w:tcPr>
            <w:tcW w:type="dxa" w:w="1234"/>
          </w:tcPr>
          <w:p>
            <w:r>
              <w:rPr/>
              <w:t>2025-06-28</w:t>
            </w:r>
          </w:p>
        </w:tc>
      </w:tr>
      <w:tr>
        <w:tc>
          <w:tcPr>
            <w:tcW w:type="dxa" w:w="1234"/>
          </w:tcPr>
          <w:p>
            <w:r>
              <w:rPr/>
              <w:t>ValveSeat</w:t>
            </w:r>
          </w:p>
        </w:tc>
        <w:tc>
          <w:tcPr>
            <w:tcW w:type="dxa" w:w="1234"/>
          </w:tcPr>
          <w:p>
            <w:r>
              <w:rPr/>
              <w:t>520002</w:t>
            </w:r>
          </w:p>
        </w:tc>
        <w:tc>
          <w:tcPr>
            <w:tcW w:type="dxa" w:w="1234"/>
          </w:tcPr>
          <w:p>
            <w:r>
              <w:rPr/>
              <w:t>High</w:t>
            </w:r>
          </w:p>
        </w:tc>
        <w:tc>
          <w:tcPr>
            <w:tcW w:type="dxa" w:w="1234"/>
          </w:tcPr>
          <w:p>
            <w:r>
              <w:rPr/>
              <w:t>22</w:t>
            </w:r>
          </w:p>
        </w:tc>
        <w:tc>
          <w:tcPr>
            <w:tcW w:type="dxa" w:w="1234"/>
          </w:tcPr>
          <w:p>
            <w:r>
              <w:rPr/>
              <w:t>2,600</w:t>
            </w:r>
          </w:p>
        </w:tc>
        <w:tc>
          <w:tcPr>
            <w:tcW w:type="dxa" w:w="1234"/>
          </w:tcPr>
          <w:p>
            <w:r>
              <w:rPr>
                <w:highlight w:val="yellow"/>
              </w:rPr>
              <w:t>2025-05-03 → 2025-04-05</w:t>
            </w:r>
          </w:p>
        </w:tc>
        <w:tc>
          <w:tcPr>
            <w:tcW w:type="dxa" w:w="1234"/>
          </w:tcPr>
          <w:p>
            <w:r>
              <w:rPr/>
              <w:t>2025-09-06</w:t>
            </w:r>
          </w:p>
        </w:tc>
      </w:tr>
      <w:tr>
        <w:tc>
          <w:tcPr>
            <w:tcW w:type="dxa" w:w="1234"/>
          </w:tcPr>
          <w:p>
            <w:r>
              <w:rPr/>
              <w:t>GasketKit</w:t>
            </w:r>
          </w:p>
        </w:tc>
        <w:tc>
          <w:tcPr>
            <w:tcW w:type="dxa" w:w="1234"/>
          </w:tcPr>
          <w:p>
            <w:r>
              <w:rPr/>
              <w:t>520003</w:t>
            </w:r>
          </w:p>
        </w:tc>
        <w:tc>
          <w:tcPr>
            <w:tcW w:type="dxa" w:w="1234"/>
          </w:tcPr>
          <w:p>
            <w:r>
              <w:rPr/>
              <w:t>High</w:t>
            </w:r>
          </w:p>
        </w:tc>
        <w:tc>
          <w:tcPr>
            <w:tcW w:type="dxa" w:w="1234"/>
          </w:tcPr>
          <w:p>
            <w:r>
              <w:rPr/>
              <w:t>24</w:t>
            </w:r>
          </w:p>
        </w:tc>
        <w:tc>
          <w:tcPr>
            <w:tcW w:type="dxa" w:w="1234"/>
          </w:tcPr>
          <w:p>
            <w:r>
              <w:rPr>
                <w:highlight w:val="yellow"/>
              </w:rPr>
              <w:t>5,200 → 7,800</w:t>
            </w:r>
          </w:p>
        </w:tc>
        <w:tc>
          <w:tcPr>
            <w:tcW w:type="dxa" w:w="1234"/>
          </w:tcPr>
          <w:p>
            <w:r>
              <w:rPr>
                <w:highlight w:val="yellow"/>
              </w:rPr>
              <w:t>2025-05-17 → 2025-04-19</w:t>
            </w:r>
          </w:p>
        </w:tc>
        <w:tc>
          <w:tcPr>
            <w:tcW w:type="dxa" w:w="1234"/>
          </w:tcPr>
          <w:p>
            <w:r>
              <w:rPr/>
              <w:t>2025-09-20</w:t>
            </w:r>
          </w:p>
        </w:tc>
      </w:tr>
      <w:tr>
        <w:tc>
          <w:tcPr>
            <w:tcW w:type="dxa" w:w="1234"/>
          </w:tcPr>
          <w:p>
            <w:r>
              <w:rPr/>
              <w:t>PistonRing</w:t>
            </w:r>
          </w:p>
        </w:tc>
        <w:tc>
          <w:tcPr>
            <w:tcW w:type="dxa" w:w="1234"/>
          </w:tcPr>
          <w:p>
            <w:r>
              <w:rPr/>
              <w:t>520004</w:t>
            </w:r>
          </w:p>
        </w:tc>
        <w:tc>
          <w:tcPr>
            <w:tcW w:type="dxa" w:w="1234"/>
          </w:tcPr>
          <w:p>
            <w:r>
              <w:rPr/>
              <w:t>Medium</w:t>
            </w:r>
          </w:p>
        </w:tc>
        <w:tc>
          <w:tcPr>
            <w:tcW w:type="dxa" w:w="1234"/>
          </w:tcPr>
          <w:p>
            <w:r>
              <w:rPr/>
              <w:t>30</w:t>
            </w:r>
          </w:p>
        </w:tc>
        <w:tc>
          <w:tcPr>
            <w:tcW w:type="dxa" w:w="1234"/>
          </w:tcPr>
          <w:p>
            <w:r>
              <w:rPr/>
              <w:t>1,300</w:t>
            </w:r>
          </w:p>
        </w:tc>
        <w:tc>
          <w:tcPr>
            <w:tcW w:type="dxa" w:w="1234"/>
          </w:tcPr>
          <w:p>
            <w:r>
              <w:rPr>
                <w:highlight w:val="yellow"/>
              </w:rPr>
              <w:t>2025-06-28 → 2025-05-31</w:t>
            </w:r>
          </w:p>
        </w:tc>
        <w:tc>
          <w:tcPr>
            <w:tcW w:type="dxa" w:w="1234"/>
          </w:tcPr>
          <w:p>
            <w:r>
              <w:rPr/>
              <w:t>2025-11-01</w:t>
            </w:r>
          </w:p>
        </w:tc>
      </w:tr>
    </w:tbl>
    <w:p/>
    <w:p/>
    <w:p>
      <w:r>
        <w:rPr/>
        <w:t>Unit price and total: to be confirmed with the supplier.</w:t>
      </w:r>
    </w:p>
    <w:p/>
    <w:p>
      <w:pPr>
        <w:pStyle w:val="Heading1"/>
      </w:pPr>
      <w:r>
        <w:rPr/>
        <w:t>Supporting Documents</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w:t>
            </w:r>
          </w:p>
        </w:tc>
        <w:tc>
          <w:tcPr>
            <w:tcW w:type="dxa" w:w="2160"/>
          </w:tcPr>
          <w:p>
            <w:r>
              <w:rPr>
                <w:b/>
              </w:rPr>
              <w:t>File</w:t>
            </w:r>
          </w:p>
        </w:tc>
        <w:tc>
          <w:tcPr>
            <w:tcW w:type="dxa" w:w="2160"/>
          </w:tcPr>
          <w:p>
            <w:r>
              <w:rPr>
                <w:b/>
              </w:rPr>
              <w:t>Date</w:t>
            </w:r>
          </w:p>
        </w:tc>
        <w:tc>
          <w:tcPr>
            <w:tcW w:type="dxa" w:w="2160"/>
          </w:tcPr>
          <w:p>
            <w:r>
              <w:rPr>
                <w:b/>
              </w:rPr>
              <w:t>About</w:t>
            </w:r>
          </w:p>
        </w:tc>
      </w:tr>
      <w:tr>
        <w:tc>
          <w:tcPr>
            <w:tcW w:type="dxa" w:w="2160"/>
          </w:tcPr>
          <w:p>
            <w:r>
              <w:rPr/>
              <w:t>1</w:t>
            </w:r>
          </w:p>
        </w:tc>
        <w:tc>
          <w:tcPr>
            <w:tcW w:type="dxa" w:w="2160"/>
          </w:tcPr>
          <w:p>
            <w:r>
              <w:rPr/>
              <w:t>kestrel_lead_time_notice_2025-03.docx</w:t>
            </w:r>
          </w:p>
        </w:tc>
        <w:tc>
          <w:tcPr>
            <w:tcW w:type="dxa" w:w="2160"/>
          </w:tcPr>
          <w:p>
            <w:r>
              <w:rPr/>
              <w:t>2025-03-10</w:t>
            </w:r>
          </w:p>
        </w:tc>
        <w:tc>
          <w:tcPr>
            <w:tcW w:type="dxa" w:w="2160"/>
          </w:tcPr>
          <w:p>
            <w:r>
              <w:rPr/>
              <w:t>KestrelComponents (supplier-wide)</w:t>
            </w:r>
          </w:p>
        </w:tc>
      </w:tr>
      <w:tr>
        <w:tc>
          <w:tcPr>
            <w:tcW w:type="dxa" w:w="2160"/>
          </w:tcPr>
          <w:p>
            <w:r>
              <w:rPr/>
              <w:t>2</w:t>
            </w:r>
          </w:p>
        </w:tc>
        <w:tc>
          <w:tcPr>
            <w:tcW w:type="dxa" w:w="2160"/>
          </w:tcPr>
          <w:p>
            <w:r>
              <w:rPr/>
              <w:t>gasketkit_contract_2025-02.docx</w:t>
            </w:r>
          </w:p>
        </w:tc>
        <w:tc>
          <w:tcPr>
            <w:tcW w:type="dxa" w:w="2160"/>
          </w:tcPr>
          <w:p>
            <w:r>
              <w:rPr/>
              <w:t>2025-02-20</w:t>
            </w:r>
          </w:p>
        </w:tc>
        <w:tc>
          <w:tcPr>
            <w:tcW w:type="dxa" w:w="2160"/>
          </w:tcPr>
          <w:p>
            <w:r>
              <w:rPr/>
              <w:t>GasketKit (any supplier)</w:t>
            </w:r>
          </w:p>
        </w:tc>
      </w:tr>
    </w:tbl>
    <w:p/>
    <w:p/>
    <w:p>
      <w:pPr>
        <w:pStyle w:val="Heading1"/>
      </w:pPr>
      <w:r>
        <w:rPr/>
        <w:t>Approval</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Role</w:t>
            </w:r>
          </w:p>
        </w:tc>
        <w:tc>
          <w:tcPr>
            <w:tcW w:type="dxa" w:w="2160"/>
          </w:tcPr>
          <w:p>
            <w:r>
              <w:rPr>
                <w:b/>
              </w:rPr>
              <w:t>Name</w:t>
            </w:r>
          </w:p>
        </w:tc>
        <w:tc>
          <w:tcPr>
            <w:tcW w:type="dxa" w:w="2160"/>
          </w:tcPr>
          <w:p>
            <w:r>
              <w:rPr>
                <w:b/>
              </w:rPr>
              <w:t>Signature</w:t>
            </w:r>
          </w:p>
        </w:tc>
        <w:tc>
          <w:tcPr>
            <w:tcW w:type="dxa" w:w="2160"/>
          </w:tcPr>
          <w:p>
            <w:r>
              <w:rPr>
                <w:b/>
              </w:rPr>
              <w:t>Date</w:t>
            </w:r>
          </w:p>
        </w:tc>
      </w:tr>
      <w:tr>
        <w:tc>
          <w:tcPr>
            <w:tcW w:type="dxa" w:w="2160"/>
          </w:tcPr>
          <w:p>
            <w:r>
              <w:rPr/>
              <w:t>Purchasing Manager</w:t>
            </w:r>
          </w:p>
        </w:tc>
        <w:tc>
          <w:tcPr>
            <w:tcW w:type="dxa" w:w="2160"/>
          </w:tcPr>
          <w:p/>
        </w:tc>
        <w:tc>
          <w:tcPr>
            <w:tcW w:type="dxa" w:w="2160"/>
          </w:tcPr>
          <w:p/>
        </w:tc>
        <w:tc>
          <w:tcPr>
            <w:tcW w:type="dxa" w:w="2160"/>
          </w:tcPr>
          <w:p/>
        </w:tc>
      </w:tr>
      <w:tr>
        <w:tc>
          <w:tcPr>
            <w:tcW w:type="dxa" w:w="2160"/>
          </w:tcPr>
          <w:p>
            <w:r>
              <w:rPr/>
              <w:t>Operations Director</w:t>
            </w:r>
          </w:p>
        </w:tc>
        <w:tc>
          <w:tcPr>
            <w:tcW w:type="dxa" w:w="2160"/>
          </w:tcPr>
          <w:p/>
        </w:tc>
        <w:tc>
          <w:tcPr>
            <w:tcW w:type="dxa" w:w="2160"/>
          </w:tcPr>
          <w:p/>
        </w:tc>
        <w:tc>
          <w:tcPr>
            <w:tcW w:type="dxa" w:w="2160"/>
          </w:tcPr>
          <w:p/>
        </w:tc>
      </w:tr>
      <w:tr>
        <w:tc>
          <w:tcPr>
            <w:tcW w:type="dxa" w:w="2160"/>
          </w:tcPr>
          <w:p>
            <w:r>
              <w:rPr/>
              <w:t>Finance Officer</w:t>
            </w:r>
          </w:p>
        </w:tc>
        <w:tc>
          <w:tcPr>
            <w:tcW w:type="dxa" w:w="2160"/>
          </w:tcPr>
          <w:p/>
        </w:tc>
        <w:tc>
          <w:tcPr>
            <w:tcW w:type="dxa" w:w="2160"/>
          </w:tcPr>
          <w:p/>
        </w:tc>
        <w:tc>
          <w:tcPr>
            <w:tcW w:type="dxa" w:w="2160"/>
          </w:tcPr>
          <w:p/>
        </w:tc>
      </w:tr>
    </w:tbl>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