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KestrelComponents</w:t>
      </w:r>
    </w:p>
    <w:p>
      <w:r>
        <w:rPr>
          <w:b/>
        </w:rPr>
        <w:t>Result:</w:t>
      </w:r>
      <w:r>
        <w:rPr/>
        <w:t xml:space="preserve"> Ready: all 9 blocking checks passed; no warnings.</w:t>
      </w:r>
    </w:p>
    <w:p>
      <w:r>
        <w:rPr>
          <w:b/>
        </w:rPr>
        <w:t>Checked by:</w:t>
      </w:r>
      <w:r>
        <w:rPr/>
        <w:t xml:space="preserve"> code, and `anthropic:claude-haiku-5-5`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Output format (C1)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160"/>
          </w:tcPr>
          <w:p>
            <w:r>
              <w:rPr/>
              <w:t>Items match the input (C2)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160"/>
          </w:tcPr>
          <w:p>
            <w:r>
              <w:rPr/>
              <w:t>Figures match the input (C3)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160"/>
          </w:tcPr>
          <w:p>
            <w:r>
              <w:rPr/>
              <w:t>Every judgement cites findings that apply (C4)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160"/>
          </w:tcPr>
          <w:p>
            <w:r>
              <w:rPr/>
              <w:t>Proposed changes add up (C5)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the changes add up</w:t>
            </w:r>
          </w:p>
        </w:tc>
      </w:tr>
      <w:tr>
        <w:tc>
          <w:tcPr>
            <w:tcW w:type="dxa" w:w="216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160"/>
          </w:tcPr>
          <w:p>
            <w:r>
              <w:rPr/>
              <w:t>Summary names every Critical item (C7)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names every Critical item</w:t>
            </w:r>
          </w:p>
        </w:tc>
      </w:tr>
      <w:tr>
        <w:tc>
          <w:tcPr>
            <w:tcW w:type="dxa" w:w="2160"/>
          </w:tcPr>
          <w:p>
            <w:r>
              <w:rPr/>
              <w:t>Summary within about 100 words (C8)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51 words</w:t>
            </w:r>
          </w:p>
        </w:tc>
      </w:tr>
      <w:tr>
        <w:tc>
          <w:tcPr>
            <w:tcW w:type="dxa" w:w="2160"/>
          </w:tcPr>
          <w:p>
            <w:r>
              <w:rPr/>
              <w:t>Arrows in the text match the proposed changes (C9)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arrow matches a change</w:t>
            </w:r>
          </w:p>
        </w:tc>
      </w:tr>
      <w:tr>
        <w:tc>
          <w:tcPr>
            <w:tcW w:type="dxa" w:w="2160"/>
          </w:tcPr>
          <w:p>
            <w:r>
              <w:rPr/>
              <w:t>No invented or distorted history (J1)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Finding 1 restates document 1 accurately (four weeks longer from 1 April 2025, plant move to Gdansk, until end of 2025, supplier-wide). Finding 3 restates document 2 accurately (50% higher since January 2025, fleet operator contract to December 2027, attributed to GasketKit). Finding 4 says OilSeal demand has been steady over the past year, matching document 3 and attributed to OilSeal. No distortion or misattribution found.</w:t>
            </w:r>
          </w:p>
        </w:tc>
      </w:tr>
      <w:tr>
        <w:tc>
          <w:tcPr>
            <w:tcW w:type="dxa" w:w="216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Critical question 1 asks how the extended lead times from the plant move will affect delivery, which the history shows (document 1). Critical question 2 asks whether the GasketKit demand increase continues beyond the contract, which is a question about a problem the inputs show (document 2). Neither presumes an unshown problem.</w:t>
            </w:r>
          </w:p>
        </w:tc>
      </w:tr>
      <w:tr>
        <w:tc>
          <w:tcPr>
            <w:tcW w:type="dxa" w:w="2160"/>
          </w:tcPr>
          <w:p>
            <w:r>
              <w:rPr/>
              <w:t>Stock figures quoted match the input (J7)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Summary and finding 2 give BearingCap's 6-week gap, matching expected_stockout_weeks 6. No stock figures are quoted for other items. The quantity change for 520003 is described in the reason as a 50% increase from the history, with no stock figure quoted in prose. The quantity_changes entry has original 5200 and proposed 7800, but the prose itself does not state the '&lt;pipeline value&gt; → &lt;proposed value&gt;' form for quantity. The reason field says 'Demand has increased by 50%', which is a history figure and not judged here. The prose mentions 'the GasketKit order quantity' in action text without a figure. However, the requirement is that wherever the prose mentions the changed figure, it is written as a pair; the action 'Review the GasketKit order quantity' mentions the quantity without a figure, so no violation is strictly evident in the prose.</w:t>
            </w:r>
          </w:p>
        </w:tc>
      </w:tr>
      <w:tr>
        <w:tc>
          <w:tcPr>
            <w:tcW w:type="dxa" w:w="2160"/>
          </w:tcPr>
          <w:p>
            <w:r>
              <w:rPr/>
              <w:t>Supplier problem raised as a question (J2a)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Document 1 describes a supplier-wide lead time increase of four weeks from 1 April 2025 until end of 2025, which matters for ordering. Critical question 1 addresses it directly by asking how the extended lead times affect deliveries.</w:t>
            </w:r>
          </w:p>
        </w:tc>
      </w:tr>
      <w:tr>
        <w:tc>
          <w:tcPr>
            <w:tcW w:type="dxa" w:w="2160"/>
          </w:tcPr>
          <w:p>
            <w:r>
              <w:rPr/>
              <w:t>Item problem raised as a question (J2b)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Document 2 describes a 50% demand increase for GasketKit, which matters for ordering. Critical question 2 addresses whether that increased demand continues beyond the current contract. Document 3 (OilSeal steady) describes no problem. The BearingCap gap is from stock data, not history.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Ready: all 1 blocking checks passed; 1 warning.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Purchase request adds nothing to its input (P1)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Purchase request paragraphs within length (P2)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within length</w:t>
            </w:r>
          </w:p>
        </w:tc>
      </w:tr>
      <w:tr>
        <w:tc>
          <w:tcPr>
            <w:tcW w:type="dxa" w:w="216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