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C00000"/>
        </w:rPr>
        <w:t>Draft — to be revised once the questions and actions below are resolved, with current quantities, dates and figures. Delete this note and everything in red before submitting.</w:t>
      </w:r>
    </w:p>
    <w:p/>
    <w:p>
      <w:r>
        <w:rPr>
          <w:b/>
          <w:i/>
          <w:color w:val="C00000"/>
        </w:rPr>
        <w:t>Please check</w:t>
      </w:r>
    </w:p>
    <w:p>
      <w:r>
        <w:rPr>
          <w:i/>
          <w:color w:val="C00000"/>
        </w:rPr>
        <w:t>- Purpose and Justification could not be checked automatically; please review it.</w:t>
      </w:r>
    </w:p>
    <w:p/>
    <w:p>
      <w:r>
        <w:rPr>
          <w:b/>
          <w:i/>
          <w:color w:val="C00000"/>
        </w:rPr>
        <w:t>Critical Questions</w:t>
      </w:r>
    </w:p>
    <w:p>
      <w:r>
        <w:rPr>
          <w:i/>
          <w:color w:val="C00000"/>
        </w:rPr>
        <w:t>Ask KestrelComponents:</w:t>
      </w:r>
    </w:p>
    <w:p>
      <w:r>
        <w:rPr>
          <w:i/>
          <w:color w:val="C00000"/>
        </w:rPr>
        <w:t>1. How will the extended lead times due to the plant move affect the delivery of BearingCap, ValveSeat, GasketKit, PistonRing, and OilSeal in this order?</w:t>
      </w:r>
    </w:p>
    <w:p>
      <w:r>
        <w:rPr>
          <w:i/>
          <w:color w:val="C00000"/>
        </w:rPr>
        <w:t>Check internally:</w:t>
      </w:r>
    </w:p>
    <w:p>
      <w:r>
        <w:rPr>
          <w:i/>
          <w:color w:val="C00000"/>
        </w:rPr>
        <w:t>2. Is the increased GasketKit demand expected to continue beyond the current contract?</w:t>
      </w:r>
    </w:p>
    <w:p/>
    <w:p>
      <w:r>
        <w:rPr>
          <w:b/>
          <w:i/>
          <w:color w:val="C00000"/>
        </w:rPr>
        <w:t>Recommended Actions</w:t>
      </w:r>
    </w:p>
    <w:p>
      <w:r>
        <w:rPr>
          <w:i/>
          <w:color w:val="C00000"/>
        </w:rPr>
        <w:t>1. Ask KestrelComponents for expedited shipping of BearingCap, or cover it from an alternative source, to bridge the 6-week gap.</w:t>
      </w:r>
    </w:p>
    <w:p>
      <w:r>
        <w:rPr>
          <w:i/>
          <w:color w:val="C00000"/>
        </w:rPr>
        <w:t>2. Confirm delivery dates for this order with KestrelComponents, given the extended lead times due to the plant move.</w:t>
      </w:r>
    </w:p>
    <w:p>
      <w:r>
        <w:rPr>
          <w:i/>
          <w:color w:val="C00000"/>
        </w:rPr>
        <w:t>3. Review the GasketKit order quantity to ensure it meets the increased demand from the new contract.</w:t>
      </w:r>
    </w:p>
    <w:p/>
    <w:p>
      <w:pPr>
        <w:pStyle w:val="Title"/>
      </w:pPr>
      <w:r>
        <w:rPr/>
        <w:t>Purchase Request — KestrelComponents</w:t>
      </w:r>
    </w:p>
    <w:p/>
    <w:p>
      <w:r>
        <w:rPr/>
        <w:t>Request date: 2025-04-06</w:t>
      </w:r>
    </w:p>
    <w:p/>
    <w:p>
      <w:r>
        <w:rPr/>
        <w:t xml:space="preserve">Requested by: </w:t>
      </w:r>
      <w:r>
        <w:rPr>
          <w:i/>
        </w:rPr>
        <w:t>[Your name here]</w:t>
      </w:r>
    </w:p>
    <w:p/>
    <w:p>
      <w:r>
        <w:rPr/>
        <w:t>Analysis reference: run 2026-10-23_023903_plain-notes-for-the-buyer-judge-evidence-before-ve</w:t>
      </w:r>
    </w:p>
    <w:p/>
    <w:p>
      <w:pPr>
        <w:pStyle w:val="Heading1"/>
      </w:pPr>
      <w:r>
        <w:rPr/>
        <w:t>Purpose</w:t>
      </w:r>
    </w:p>
    <w:p/>
    <w:p>
      <w:r>
        <w:rPr/>
        <w:t>This request seeks approval to purchase BearingCap, ValveSeat, GasketKit, and PistonRing from KestrelComponents to prevent stockouts and meet increased demand.</w:t>
      </w:r>
    </w:p>
    <w:p/>
    <w:p>
      <w:pPr>
        <w:pStyle w:val="Heading1"/>
      </w:pPr>
      <w:r>
        <w:rPr/>
        <w:t>Justification</w:t>
      </w:r>
    </w:p>
    <w:p/>
    <w:p>
      <w:r>
        <w:rPr/>
        <w:t>Approval is needed to order BearingCap immediately as it is overdue and will run out before a new order can arrive, resulting in a 6-week gap [1]. Expedited shipping or sourcing from an alternative supplier is necessary to bridge this gap. The GasketKit order quantity requires an increase from 5200 to 7800 units due to a 50% rise in demand following a new contract [2]. Additionally, confirmation of delivery dates with KestrelComponents is essential due to extended lead times caused by their plant relocation [1].</w:t>
      </w:r>
    </w:p>
    <w:p/>
    <w:p>
      <w:pPr>
        <w:pStyle w:val="Heading1"/>
      </w:pPr>
      <w:r>
        <w:rPr/>
        <w:t>Items Requested (snapshot 2025-04-05)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Deliver by</w:t>
            </w:r>
          </w:p>
        </w:tc>
      </w:tr>
      <w:tr>
        <w:tc>
          <w:tcPr>
            <w:tcW w:type="dxa" w:w="1234"/>
          </w:tcPr>
          <w:p>
            <w:r>
              <w:rPr/>
              <w:t>BearingCap</w:t>
            </w:r>
          </w:p>
        </w:tc>
        <w:tc>
          <w:tcPr>
            <w:tcW w:type="dxa" w:w="1234"/>
          </w:tcPr>
          <w:p>
            <w:r>
              <w:rPr/>
              <w:t>520001</w:t>
            </w:r>
          </w:p>
        </w:tc>
        <w:tc>
          <w:tcPr>
            <w:tcW w:type="dxa" w:w="1234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234"/>
          </w:tcPr>
          <w:p>
            <w:r>
              <w:rPr/>
              <w:t>12</w:t>
            </w:r>
          </w:p>
        </w:tc>
        <w:tc>
          <w:tcPr>
            <w:tcW w:type="dxa" w:w="1234"/>
          </w:tcPr>
          <w:p>
            <w:r>
              <w:rPr/>
              <w:t>1,300</w:t>
            </w:r>
          </w:p>
        </w:tc>
        <w:tc>
          <w:tcPr>
            <w:tcW w:type="dxa" w:w="1234"/>
          </w:tcPr>
          <w:p>
            <w:r>
              <w:rPr/>
              <w:t>2025-04-05 (overdue)</w:t>
            </w:r>
          </w:p>
        </w:tc>
        <w:tc>
          <w:tcPr>
            <w:tcW w:type="dxa" w:w="1234"/>
          </w:tcPr>
          <w:p>
            <w:r>
              <w:rPr/>
              <w:t>2025-06-28</w:t>
            </w:r>
          </w:p>
        </w:tc>
      </w:tr>
      <w:tr>
        <w:tc>
          <w:tcPr>
            <w:tcW w:type="dxa" w:w="1234"/>
          </w:tcPr>
          <w:p>
            <w:r>
              <w:rPr/>
              <w:t>ValveSeat</w:t>
            </w:r>
          </w:p>
        </w:tc>
        <w:tc>
          <w:tcPr>
            <w:tcW w:type="dxa" w:w="1234"/>
          </w:tcPr>
          <w:p>
            <w:r>
              <w:rPr/>
              <w:t>520002</w:t>
            </w:r>
          </w:p>
        </w:tc>
        <w:tc>
          <w:tcPr>
            <w:tcW w:type="dxa" w:w="1234"/>
          </w:tcPr>
          <w:p>
            <w:r>
              <w:rPr/>
              <w:t>High</w:t>
            </w:r>
          </w:p>
        </w:tc>
        <w:tc>
          <w:tcPr>
            <w:tcW w:type="dxa" w:w="1234"/>
          </w:tcPr>
          <w:p>
            <w:r>
              <w:rPr/>
              <w:t>22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2025-05-03</w:t>
            </w:r>
          </w:p>
        </w:tc>
        <w:tc>
          <w:tcPr>
            <w:tcW w:type="dxa" w:w="1234"/>
          </w:tcPr>
          <w:p>
            <w:r>
              <w:rPr/>
              <w:t>2025-09-06</w:t>
            </w:r>
          </w:p>
        </w:tc>
      </w:tr>
      <w:tr>
        <w:tc>
          <w:tcPr>
            <w:tcW w:type="dxa" w:w="1234"/>
          </w:tcPr>
          <w:p>
            <w:r>
              <w:rPr/>
              <w:t>GasketKit</w:t>
            </w:r>
          </w:p>
        </w:tc>
        <w:tc>
          <w:tcPr>
            <w:tcW w:type="dxa" w:w="1234"/>
          </w:tcPr>
          <w:p>
            <w:r>
              <w:rPr/>
              <w:t>520003</w:t>
            </w:r>
          </w:p>
        </w:tc>
        <w:tc>
          <w:tcPr>
            <w:tcW w:type="dxa" w:w="1234"/>
          </w:tcPr>
          <w:p>
            <w:r>
              <w:rPr/>
              <w:t>High</w:t>
            </w:r>
          </w:p>
        </w:tc>
        <w:tc>
          <w:tcPr>
            <w:tcW w:type="dxa" w:w="1234"/>
          </w:tcPr>
          <w:p>
            <w:r>
              <w:rPr/>
              <w:t>24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5,200 → 7,800</w:t>
            </w:r>
          </w:p>
        </w:tc>
        <w:tc>
          <w:tcPr>
            <w:tcW w:type="dxa" w:w="1234"/>
          </w:tcPr>
          <w:p>
            <w:r>
              <w:rPr/>
              <w:t>2025-05-17</w:t>
            </w:r>
          </w:p>
        </w:tc>
        <w:tc>
          <w:tcPr>
            <w:tcW w:type="dxa" w:w="1234"/>
          </w:tcPr>
          <w:p>
            <w:r>
              <w:rPr/>
              <w:t>2025-09-20</w:t>
            </w:r>
          </w:p>
        </w:tc>
      </w:tr>
      <w:tr>
        <w:tc>
          <w:tcPr>
            <w:tcW w:type="dxa" w:w="1234"/>
          </w:tcPr>
          <w:p>
            <w:r>
              <w:rPr/>
              <w:t>PistonRing</w:t>
            </w:r>
          </w:p>
        </w:tc>
        <w:tc>
          <w:tcPr>
            <w:tcW w:type="dxa" w:w="1234"/>
          </w:tcPr>
          <w:p>
            <w:r>
              <w:rPr/>
              <w:t>520004</w:t>
            </w:r>
          </w:p>
        </w:tc>
        <w:tc>
          <w:tcPr>
            <w:tcW w:type="dxa" w:w="1234"/>
          </w:tcPr>
          <w:p>
            <w:r>
              <w:rPr/>
              <w:t>Medium</w:t>
            </w:r>
          </w:p>
        </w:tc>
        <w:tc>
          <w:tcPr>
            <w:tcW w:type="dxa" w:w="1234"/>
          </w:tcPr>
          <w:p>
            <w:r>
              <w:rPr/>
              <w:t>30</w:t>
            </w:r>
          </w:p>
        </w:tc>
        <w:tc>
          <w:tcPr>
            <w:tcW w:type="dxa" w:w="1234"/>
          </w:tcPr>
          <w:p>
            <w:r>
              <w:rPr/>
              <w:t>1,300</w:t>
            </w:r>
          </w:p>
        </w:tc>
        <w:tc>
          <w:tcPr>
            <w:tcW w:type="dxa" w:w="1234"/>
          </w:tcPr>
          <w:p>
            <w:r>
              <w:rPr/>
              <w:t>2025-06-28</w:t>
            </w:r>
          </w:p>
        </w:tc>
        <w:tc>
          <w:tcPr>
            <w:tcW w:type="dxa" w:w="1234"/>
          </w:tcPr>
          <w:p>
            <w:r>
              <w:rPr/>
              <w:t>2025-11-01</w:t>
            </w:r>
          </w:p>
        </w:tc>
      </w:tr>
    </w:tbl>
    <w:p/>
    <w:p/>
    <w:p>
      <w:r>
        <w:rPr/>
        <w:t>Unit price and total: to be confirmed with the supplier.</w:t>
      </w:r>
    </w:p>
    <w:p/>
    <w:p>
      <w:pPr>
        <w:pStyle w:val="Heading1"/>
      </w:pPr>
      <w:r>
        <w:rPr/>
        <w:t>Supporting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kestrel_lead_time_notice_2025-03.docx</w:t>
            </w:r>
          </w:p>
        </w:tc>
        <w:tc>
          <w:tcPr>
            <w:tcW w:type="dxa" w:w="2160"/>
          </w:tcPr>
          <w:p>
            <w:r>
              <w:rPr/>
              <w:t>2025-03-10</w:t>
            </w:r>
          </w:p>
        </w:tc>
        <w:tc>
          <w:tcPr>
            <w:tcW w:type="dxa" w:w="2160"/>
          </w:tcPr>
          <w:p>
            <w:r>
              <w:rPr/>
              <w:t>KestrelComponents (supplier-wide)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gasketkit_contract_2025-02.docx</w:t>
            </w:r>
          </w:p>
        </w:tc>
        <w:tc>
          <w:tcPr>
            <w:tcW w:type="dxa" w:w="2160"/>
          </w:tcPr>
          <w:p>
            <w:r>
              <w:rPr/>
              <w:t>2025-02-20</w:t>
            </w:r>
          </w:p>
        </w:tc>
        <w:tc>
          <w:tcPr>
            <w:tcW w:type="dxa" w:w="2160"/>
          </w:tcPr>
          <w:p>
            <w:r>
              <w:rPr/>
              <w:t>GasketKit (any supplier)</w:t>
            </w:r>
          </w:p>
        </w:tc>
      </w:tr>
    </w:tbl>
    <w:p/>
    <w:p/>
    <w:p>
      <w:pPr>
        <w:pStyle w:val="Heading1"/>
      </w:pPr>
      <w:r>
        <w:rPr/>
        <w:t>Approval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/>
              <w:t>Purchasing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Operations Director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Finance Officer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