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Draft — to be revised once the questions and actions below are resolved, with current quantities, dates and figures. Delete this note and everything in red before submitting.</w:t>
      </w:r>
    </w:p>
    <w:p/>
    <w:p>
      <w:r>
        <w:rPr>
          <w:b/>
          <w:i/>
          <w:color w:val="C00000"/>
        </w:rPr>
        <w:t>Critical Questions</w:t>
      </w:r>
    </w:p>
    <w:p>
      <w:r>
        <w:rPr>
          <w:i/>
          <w:color w:val="C00000"/>
        </w:rPr>
        <w:t>Ask KestrelComponents:</w:t>
      </w:r>
    </w:p>
    <w:p>
      <w:r>
        <w:rPr>
          <w:i/>
          <w:color w:val="C00000"/>
        </w:rPr>
        <w:t>1. How will the extended lead times due to the plant move affect the delivery schedule for BearingCap, ValveSeat, GasketKit, PistonRing, and OilSeal?</w:t>
      </w:r>
    </w:p>
    <w:p>
      <w:r>
        <w:rPr>
          <w:i/>
          <w:color w:val="C00000"/>
        </w:rPr>
        <w:t>Check internally:</w:t>
      </w:r>
    </w:p>
    <w:p>
      <w:r>
        <w:rPr>
          <w:i/>
          <w:color w:val="C00000"/>
        </w:rPr>
        <w:t>2. Is the increased GasketKit demand expected to continue beyond the current contract?</w:t>
      </w:r>
    </w:p>
    <w:p/>
    <w:p>
      <w:r>
        <w:rPr>
          <w:b/>
          <w:i/>
          <w:color w:val="C00000"/>
        </w:rPr>
        <w:t>Recommended Actions</w:t>
      </w:r>
    </w:p>
    <w:p>
      <w:r>
        <w:rPr>
          <w:i/>
          <w:color w:val="C00000"/>
        </w:rPr>
        <w:t>1. Ask KestrelComponents for expedited shipping of BearingCap, or cover it from an alternative source, to bridge the 6-week gap.</w:t>
      </w:r>
    </w:p>
    <w:p>
      <w:r>
        <w:rPr>
          <w:i/>
          <w:color w:val="C00000"/>
        </w:rPr>
        <w:t>2. Confirm the impact of the extended lead times on the delivery schedule for all items with KestrelComponents.</w:t>
      </w:r>
    </w:p>
    <w:p>
      <w:r>
        <w:rPr>
          <w:i/>
          <w:color w:val="C00000"/>
        </w:rPr>
        <w:t>3. Reassess the GasketKit order quantity to accommodate the 50% increase in demand due to the new contract.</w:t>
      </w:r>
    </w:p>
    <w:p/>
    <w:p>
      <w:pPr>
        <w:pStyle w:val="Title"/>
      </w:pPr>
      <w:r>
        <w:rPr/>
        <w:t>Purchase Request — KestrelComponents</w:t>
      </w:r>
    </w:p>
    <w:p/>
    <w:p>
      <w:r>
        <w:rPr/>
        <w:t>Request date: 2025-04-06</w:t>
      </w:r>
    </w:p>
    <w:p/>
    <w:p>
      <w:r>
        <w:rPr/>
        <w:t xml:space="preserve">Requested by: </w:t>
      </w:r>
      <w:r>
        <w:rPr>
          <w:i/>
        </w:rPr>
        <w:t>[Your name here]</w:t>
      </w:r>
    </w:p>
    <w:p/>
    <w:p>
      <w:r>
        <w:rPr/>
        <w:t>Analysis reference: run 2026-10-23_165541_j6a-c-on-proposed-changes-unwrap-nested-verdicts</w:t>
      </w:r>
    </w:p>
    <w:p/>
    <w:p>
      <w:pPr>
        <w:pStyle w:val="Heading1"/>
      </w:pPr>
      <w:r>
        <w:rPr/>
        <w:t>Purpose</w:t>
      </w:r>
    </w:p>
    <w:p/>
    <w:p>
      <w:r>
        <w:rPr/>
        <w:t>Approval is requested to purchase BearingCap, ValveSeat, GasketKit, and PistonRing from KestrelComponents to ensure continuity of supply and meet increased demand.</w:t>
      </w:r>
    </w:p>
    <w:p/>
    <w:p>
      <w:pPr>
        <w:pStyle w:val="Heading1"/>
      </w:pPr>
      <w:r>
        <w:rPr/>
        <w:t>Justification</w:t>
      </w:r>
    </w:p>
    <w:p/>
    <w:p>
      <w:r>
        <w:rPr/>
        <w:t>The BearingCap is at critical risk of stockout, with a six-week gap expected before new stock arrives, necessitating expedited shipping or sourcing from an alternative supplier. The order dates for ValveSeat, GasketKit, and PistonRing have been advanced by four weeks due to KestrelComponents' extended lead times following their plant relocation [1]. Additionally, the GasketKit order quantity has been increased by 50% to meet the heightened demand from a new contract [2]. Approval is contingent upon confirming the impact of the extended lead times on the delivery schedule with KestrelComponents.</w:t>
      </w:r>
    </w:p>
    <w:p/>
    <w:p>
      <w:pPr>
        <w:pStyle w:val="Heading1"/>
      </w:pPr>
      <w:r>
        <w:rPr/>
        <w:t>Items Requested (snapshot 2025-04-05)</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Item</w:t>
            </w:r>
          </w:p>
        </w:tc>
        <w:tc>
          <w:tcPr>
            <w:tcW w:type="dxa" w:w="1234"/>
          </w:tcPr>
          <w:p>
            <w:r>
              <w:rPr>
                <w:b/>
              </w:rPr>
              <w:t>Code</w:t>
            </w:r>
          </w:p>
        </w:tc>
        <w:tc>
          <w:tcPr>
            <w:tcW w:type="dxa" w:w="1234"/>
          </w:tcPr>
          <w:p>
            <w:r>
              <w:rPr>
                <w:b/>
              </w:rPr>
              <w:t>Risk</w:t>
            </w:r>
          </w:p>
        </w:tc>
        <w:tc>
          <w:tcPr>
            <w:tcW w:type="dxa" w:w="1234"/>
          </w:tcPr>
          <w:p>
            <w:r>
              <w:rPr>
                <w:b/>
              </w:rPr>
              <w:t>Weeks to stockout</w:t>
            </w:r>
          </w:p>
        </w:tc>
        <w:tc>
          <w:tcPr>
            <w:tcW w:type="dxa" w:w="1234"/>
          </w:tcPr>
          <w:p>
            <w:r>
              <w:rPr>
                <w:b/>
              </w:rPr>
              <w:t>Quantity</w:t>
            </w:r>
          </w:p>
        </w:tc>
        <w:tc>
          <w:tcPr>
            <w:tcW w:type="dxa" w:w="1234"/>
          </w:tcPr>
          <w:p>
            <w:r>
              <w:rPr>
                <w:b/>
              </w:rPr>
              <w:t>Order by</w:t>
            </w:r>
          </w:p>
        </w:tc>
        <w:tc>
          <w:tcPr>
            <w:tcW w:type="dxa" w:w="1234"/>
          </w:tcPr>
          <w:p>
            <w:r>
              <w:rPr>
                <w:b/>
              </w:rPr>
              <w:t>Deliver by</w:t>
            </w:r>
          </w:p>
        </w:tc>
      </w:tr>
      <w:tr>
        <w:tc>
          <w:tcPr>
            <w:tcW w:type="dxa" w:w="1234"/>
          </w:tcPr>
          <w:p>
            <w:r>
              <w:rPr/>
              <w:t>BearingCap</w:t>
            </w:r>
          </w:p>
        </w:tc>
        <w:tc>
          <w:tcPr>
            <w:tcW w:type="dxa" w:w="1234"/>
          </w:tcPr>
          <w:p>
            <w:r>
              <w:rPr/>
              <w:t>520001</w:t>
            </w:r>
          </w:p>
        </w:tc>
        <w:tc>
          <w:tcPr>
            <w:tcW w:type="dxa" w:w="1234"/>
          </w:tcPr>
          <w:p>
            <w:r>
              <w:rPr>
                <w:b/>
                <w:color w:val="C00000"/>
              </w:rPr>
              <w:t>Critical</w:t>
            </w:r>
          </w:p>
        </w:tc>
        <w:tc>
          <w:tcPr>
            <w:tcW w:type="dxa" w:w="1234"/>
          </w:tcPr>
          <w:p>
            <w:r>
              <w:rPr/>
              <w:t>12</w:t>
            </w:r>
          </w:p>
        </w:tc>
        <w:tc>
          <w:tcPr>
            <w:tcW w:type="dxa" w:w="1234"/>
          </w:tcPr>
          <w:p>
            <w:r>
              <w:rPr/>
              <w:t>1,300</w:t>
            </w:r>
          </w:p>
        </w:tc>
        <w:tc>
          <w:tcPr>
            <w:tcW w:type="dxa" w:w="1234"/>
          </w:tcPr>
          <w:p>
            <w:r>
              <w:rPr/>
              <w:t>2025-04-05 (overdue)</w:t>
            </w:r>
          </w:p>
        </w:tc>
        <w:tc>
          <w:tcPr>
            <w:tcW w:type="dxa" w:w="1234"/>
          </w:tcPr>
          <w:p>
            <w:r>
              <w:rPr/>
              <w:t>2025-06-28</w:t>
            </w:r>
          </w:p>
        </w:tc>
      </w:tr>
      <w:tr>
        <w:tc>
          <w:tcPr>
            <w:tcW w:type="dxa" w:w="1234"/>
          </w:tcPr>
          <w:p>
            <w:r>
              <w:rPr/>
              <w:t>ValveSeat</w:t>
            </w:r>
          </w:p>
        </w:tc>
        <w:tc>
          <w:tcPr>
            <w:tcW w:type="dxa" w:w="1234"/>
          </w:tcPr>
          <w:p>
            <w:r>
              <w:rPr/>
              <w:t>520002</w:t>
            </w:r>
          </w:p>
        </w:tc>
        <w:tc>
          <w:tcPr>
            <w:tcW w:type="dxa" w:w="1234"/>
          </w:tcPr>
          <w:p>
            <w:r>
              <w:rPr/>
              <w:t>High</w:t>
            </w:r>
          </w:p>
        </w:tc>
        <w:tc>
          <w:tcPr>
            <w:tcW w:type="dxa" w:w="1234"/>
          </w:tcPr>
          <w:p>
            <w:r>
              <w:rPr/>
              <w:t>22</w:t>
            </w:r>
          </w:p>
        </w:tc>
        <w:tc>
          <w:tcPr>
            <w:tcW w:type="dxa" w:w="1234"/>
          </w:tcPr>
          <w:p>
            <w:r>
              <w:rPr/>
              <w:t>2,600</w:t>
            </w:r>
          </w:p>
        </w:tc>
        <w:tc>
          <w:tcPr>
            <w:tcW w:type="dxa" w:w="1234"/>
          </w:tcPr>
          <w:p>
            <w:r>
              <w:rPr>
                <w:highlight w:val="yellow"/>
              </w:rPr>
              <w:t>2025-05-03 → 2025-04-05</w:t>
            </w:r>
          </w:p>
        </w:tc>
        <w:tc>
          <w:tcPr>
            <w:tcW w:type="dxa" w:w="1234"/>
          </w:tcPr>
          <w:p>
            <w:r>
              <w:rPr/>
              <w:t>2025-09-06</w:t>
            </w:r>
          </w:p>
        </w:tc>
      </w:tr>
      <w:tr>
        <w:tc>
          <w:tcPr>
            <w:tcW w:type="dxa" w:w="1234"/>
          </w:tcPr>
          <w:p>
            <w:r>
              <w:rPr/>
              <w:t>GasketKit</w:t>
            </w:r>
          </w:p>
        </w:tc>
        <w:tc>
          <w:tcPr>
            <w:tcW w:type="dxa" w:w="1234"/>
          </w:tcPr>
          <w:p>
            <w:r>
              <w:rPr/>
              <w:t>520003</w:t>
            </w:r>
          </w:p>
        </w:tc>
        <w:tc>
          <w:tcPr>
            <w:tcW w:type="dxa" w:w="1234"/>
          </w:tcPr>
          <w:p>
            <w:r>
              <w:rPr/>
              <w:t>High</w:t>
            </w:r>
          </w:p>
        </w:tc>
        <w:tc>
          <w:tcPr>
            <w:tcW w:type="dxa" w:w="1234"/>
          </w:tcPr>
          <w:p>
            <w:r>
              <w:rPr/>
              <w:t>24</w:t>
            </w:r>
          </w:p>
        </w:tc>
        <w:tc>
          <w:tcPr>
            <w:tcW w:type="dxa" w:w="1234"/>
          </w:tcPr>
          <w:p>
            <w:r>
              <w:rPr>
                <w:highlight w:val="yellow"/>
              </w:rPr>
              <w:t>5,200 → 7,800</w:t>
            </w:r>
          </w:p>
        </w:tc>
        <w:tc>
          <w:tcPr>
            <w:tcW w:type="dxa" w:w="1234"/>
          </w:tcPr>
          <w:p>
            <w:r>
              <w:rPr>
                <w:highlight w:val="yellow"/>
              </w:rPr>
              <w:t>2025-05-17 → 2025-04-19</w:t>
            </w:r>
          </w:p>
        </w:tc>
        <w:tc>
          <w:tcPr>
            <w:tcW w:type="dxa" w:w="1234"/>
          </w:tcPr>
          <w:p>
            <w:r>
              <w:rPr/>
              <w:t>2025-09-20</w:t>
            </w:r>
          </w:p>
        </w:tc>
      </w:tr>
      <w:tr>
        <w:tc>
          <w:tcPr>
            <w:tcW w:type="dxa" w:w="1234"/>
          </w:tcPr>
          <w:p>
            <w:r>
              <w:rPr/>
              <w:t>PistonRing</w:t>
            </w:r>
          </w:p>
        </w:tc>
        <w:tc>
          <w:tcPr>
            <w:tcW w:type="dxa" w:w="1234"/>
          </w:tcPr>
          <w:p>
            <w:r>
              <w:rPr/>
              <w:t>520004</w:t>
            </w:r>
          </w:p>
        </w:tc>
        <w:tc>
          <w:tcPr>
            <w:tcW w:type="dxa" w:w="1234"/>
          </w:tcPr>
          <w:p>
            <w:r>
              <w:rPr/>
              <w:t>Medium</w:t>
            </w:r>
          </w:p>
        </w:tc>
        <w:tc>
          <w:tcPr>
            <w:tcW w:type="dxa" w:w="1234"/>
          </w:tcPr>
          <w:p>
            <w:r>
              <w:rPr/>
              <w:t>30</w:t>
            </w:r>
          </w:p>
        </w:tc>
        <w:tc>
          <w:tcPr>
            <w:tcW w:type="dxa" w:w="1234"/>
          </w:tcPr>
          <w:p>
            <w:r>
              <w:rPr/>
              <w:t>1,300</w:t>
            </w:r>
          </w:p>
        </w:tc>
        <w:tc>
          <w:tcPr>
            <w:tcW w:type="dxa" w:w="1234"/>
          </w:tcPr>
          <w:p>
            <w:r>
              <w:rPr>
                <w:highlight w:val="yellow"/>
              </w:rPr>
              <w:t>2025-06-28 → 2025-05-31</w:t>
            </w:r>
          </w:p>
        </w:tc>
        <w:tc>
          <w:tcPr>
            <w:tcW w:type="dxa" w:w="1234"/>
          </w:tcPr>
          <w:p>
            <w:r>
              <w:rPr/>
              <w:t>2025-11-01</w:t>
            </w:r>
          </w:p>
        </w:tc>
      </w:tr>
    </w:tbl>
    <w:p/>
    <w:p/>
    <w:p>
      <w:r>
        <w:rPr/>
        <w:t>Unit price and total: to be confirmed with the supplier.</w:t>
      </w:r>
    </w:p>
    <w:p/>
    <w:p>
      <w:pPr>
        <w:pStyle w:val="Heading1"/>
      </w:pPr>
      <w:r>
        <w:rPr/>
        <w:t>Supporting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bl>
    <w:p/>
    <w:p/>
    <w:p>
      <w:pPr>
        <w:pStyle w:val="Heading1"/>
      </w:pPr>
      <w:r>
        <w:rPr/>
        <w:t>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rPr/>
              <w:t>Purchasing Manager</w:t>
            </w:r>
          </w:p>
        </w:tc>
        <w:tc>
          <w:tcPr>
            <w:tcW w:type="dxa" w:w="2160"/>
          </w:tcPr>
          <w:p/>
        </w:tc>
        <w:tc>
          <w:tcPr>
            <w:tcW w:type="dxa" w:w="2160"/>
          </w:tcPr>
          <w:p/>
        </w:tc>
        <w:tc>
          <w:tcPr>
            <w:tcW w:type="dxa" w:w="2160"/>
          </w:tcPr>
          <w:p/>
        </w:tc>
      </w:tr>
      <w:tr>
        <w:tc>
          <w:tcPr>
            <w:tcW w:type="dxa" w:w="2160"/>
          </w:tcPr>
          <w:p>
            <w:r>
              <w:rPr/>
              <w:t>Operations Director</w:t>
            </w:r>
          </w:p>
        </w:tc>
        <w:tc>
          <w:tcPr>
            <w:tcW w:type="dxa" w:w="2160"/>
          </w:tcPr>
          <w:p/>
        </w:tc>
        <w:tc>
          <w:tcPr>
            <w:tcW w:type="dxa" w:w="2160"/>
          </w:tcPr>
          <w:p/>
        </w:tc>
        <w:tc>
          <w:tcPr>
            <w:tcW w:type="dxa" w:w="2160"/>
          </w:tcPr>
          <w:p/>
        </w:tc>
      </w:tr>
      <w:tr>
        <w:tc>
          <w:tcPr>
            <w:tcW w:type="dxa" w:w="2160"/>
          </w:tcPr>
          <w:p>
            <w:r>
              <w:rPr/>
              <w:t>Finance Officer</w:t>
            </w:r>
          </w:p>
        </w:tc>
        <w:tc>
          <w:tcPr>
            <w:tcW w:type="dxa" w:w="2160"/>
          </w:tcPr>
          <w:p/>
        </w:tc>
        <w:tc>
          <w:tcPr>
            <w:tcW w:type="dxa" w:w="2160"/>
          </w:tcPr>
          <w:p/>
        </w:tc>
        <w:tc>
          <w:tcPr>
            <w:tcW w:type="dxa" w:w="2160"/>
          </w:tcP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