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Draft — to be revised once the questions and actions below are resolved, with current quantities, dates and figures. Delete this note and everything in red before submitting.</w:t>
      </w:r>
    </w:p>
    <w:p/>
    <w:p>
      <w:r>
        <w:rPr>
          <w:b/>
          <w:i/>
          <w:color w:val="C00000"/>
        </w:rPr>
        <w:t>Critical Questions</w:t>
      </w:r>
    </w:p>
    <w:p>
      <w:r>
        <w:rPr>
          <w:i/>
          <w:color w:val="C00000"/>
        </w:rPr>
        <w:t>Ask KestrelComponents:</w:t>
      </w:r>
    </w:p>
    <w:p>
      <w:r>
        <w:rPr>
          <w:i/>
          <w:color w:val="C00000"/>
        </w:rPr>
        <w:t>1. How will the plant move affect availability and firm delivery dates for BearingCap, ValveSeat, GasketKit, PistonRing, OilSeal, ThrustWasher and SpringClip in this order?</w:t>
      </w:r>
    </w:p>
    <w:p>
      <w:r>
        <w:rPr>
          <w:i/>
          <w:color w:val="C00000"/>
        </w:rPr>
        <w:t>2. What expedited shipping or earlier partial deliveries can you offer for BearingCap and ThrustWasher, and on what dates?</w:t>
      </w:r>
    </w:p>
    <w:p>
      <w:r>
        <w:rPr>
          <w:i/>
          <w:color w:val="C00000"/>
        </w:rPr>
        <w:t>Check internally:</w:t>
      </w:r>
    </w:p>
    <w:p>
      <w:r>
        <w:rPr>
          <w:i/>
          <w:color w:val="C00000"/>
        </w:rPr>
        <w:t>3. Does the reported GasketKit demand increase relate to the UK market, and, if so, is the fleet contract already reflected in the suggested quantity of 5200?</w:t>
      </w:r>
    </w:p>
    <w:p/>
    <w:p>
      <w:r>
        <w:rPr>
          <w:b/>
          <w:i/>
          <w:color w:val="C00000"/>
        </w:rPr>
        <w:t>Recommended Actions</w:t>
      </w:r>
    </w:p>
    <w:p>
      <w:r>
        <w:rPr>
          <w:i/>
          <w:color w:val="C00000"/>
        </w:rPr>
        <w:t>1. Place the BearingCap, ThrustWasher and ValveSeat orders immediately on 5 April 2025; run delivery confirmation and shortage-cover work alongside placement rather than delaying these orders.</w:t>
      </w:r>
    </w:p>
    <w:p>
      <w:r>
        <w:rPr>
          <w:i/>
          <w:color w:val="C00000"/>
        </w:rPr>
        <w:t>2. Immediately arrange expedited shipping, earlier partial deliveries or alternative-source cover to bridge BearingCap's 10-week gap and ThrustWasher's 2-week gap, alongside the main orders.</w:t>
      </w:r>
    </w:p>
    <w:p>
      <w:r>
        <w:rPr>
          <w:i/>
          <w:color w:val="C00000"/>
        </w:rPr>
        <w:t>3. Obtain item-level delivery commitments for the plant-move period alongside the orders due immediately and before placing the later orders; use the revised lead time when scheduling the remaining purchases.</w:t>
      </w:r>
    </w:p>
    <w:p>
      <w:r>
        <w:rPr>
          <w:i/>
          <w:color w:val="C00000"/>
        </w:rPr>
        <w:t>4. Before placing the GasketKit order by 19 April 2025, establish whether the reported demand increase is in the UK and already included in the sales-based suggestion. Retain the suggested quantity of 5200 unless that review establishes a need to revise it.</w:t>
      </w:r>
    </w:p>
    <w:p/>
    <w:p>
      <w:pPr>
        <w:pStyle w:val="Title"/>
      </w:pPr>
      <w:r>
        <w:rPr/>
        <w:t>Purchase Request — KestrelComponents</w:t>
      </w:r>
    </w:p>
    <w:p/>
    <w:p>
      <w:r>
        <w:rPr/>
        <w:t>Request date: 2025-04-06</w:t>
      </w:r>
    </w:p>
    <w:p/>
    <w:p>
      <w:r>
        <w:rPr/>
        <w:t xml:space="preserve">Requested by: </w:t>
      </w:r>
      <w:r>
        <w:rPr>
          <w:i/>
        </w:rPr>
        <w:t>[Your name here]</w:t>
      </w:r>
    </w:p>
    <w:p/>
    <w:p>
      <w:r>
        <w:rPr/>
        <w:t>Analysis reference: run 2026-10-29_004531_judge-checks-renumbered-without-gaps-j3a-c-j4-j8</w:t>
      </w:r>
    </w:p>
    <w:p/>
    <w:p>
      <w:pPr>
        <w:pStyle w:val="Heading1"/>
      </w:pPr>
      <w:r>
        <w:rPr/>
        <w:t>Purpose</w:t>
      </w:r>
    </w:p>
    <w:p/>
    <w:p>
      <w:r>
        <w:rPr/>
        <w:t>Approval is requested to purchase the listed quantities of BearingCap, ThrustWasher, ValveSeat, GasketKit, SpringClip and PistonRing from KestrelComponents. The request covers immediate placement of the BearingCap, ThrustWasher and ValveSeat orders on 5 April 2025 and scheduling of the remaining purchases against their revised latest order dates.</w:t>
      </w:r>
    </w:p>
    <w:p/>
    <w:p>
      <w:pPr>
        <w:pStyle w:val="Heading1"/>
      </w:pPr>
      <w:r>
        <w:rPr/>
        <w:t>Justification</w:t>
      </w:r>
    </w:p>
    <w:p/>
    <w:p>
      <w:r>
        <w:rPr/>
        <w:t>KestrelComponents announced a four-week lead-time increase from 1 April 2025 during its move to a new plant in Gdansk, expected to last until the end of 2025 [1]; the lead time for all listed items therefore changes from 18 to 22 weeks, with the latest order date remaining 5 April 2025 for BearingCap and moving to 5 April 2025 for ThrustWasher and ValveSeat, 19 April 2025 for GasketKit, 17 May 2025 for SpringClip and 31 May 2025 for PistonRing. BearingCap has 12 weeks to stockout and a 10-week gap before delivery, ThrustWasher has 20 weeks to stockout and a 2-week gap, and ValveSeat has 22 weeks to stockout with no gap; approval is also requested to arrange expedited shipping, earlier partial deliveries or alternative-source cover for the BearingCap and ThrustWasher gaps alongside, rather than delaying, the immediate orders. Item-level delivery commitments are to be obtained alongside the immediate orders, while placement of the later orders is conditional on obtaining those commitments for the plant-move period. GasketKit demand has been 50% higher since January 2025 under a fleet operator's monthly-delivery contract running until December 2027, but the market is not identified [2]; the request for 5200 by 19 April 2025 rests on a pre-order review establishing whether that increase is in the UK and already included in the sales-based suggested quantity, with 5200 retained unless the review establishes a need to revise it.</w:t>
      </w:r>
    </w:p>
    <w:p/>
    <w:p>
      <w:pPr>
        <w:pStyle w:val="Heading1"/>
      </w:pPr>
      <w:r>
        <w:rPr/>
        <w:t>Items Requested (snapshot 2025-04-05)</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Item</w:t>
            </w:r>
          </w:p>
        </w:tc>
        <w:tc>
          <w:tcPr>
            <w:tcW w:type="dxa" w:w="1080"/>
          </w:tcPr>
          <w:p>
            <w:r>
              <w:rPr>
                <w:b/>
              </w:rPr>
              <w:t>Code</w:t>
            </w:r>
          </w:p>
        </w:tc>
        <w:tc>
          <w:tcPr>
            <w:tcW w:type="dxa" w:w="1080"/>
          </w:tcPr>
          <w:p>
            <w:r>
              <w:rPr>
                <w:b/>
              </w:rPr>
              <w:t>Risk</w:t>
            </w:r>
          </w:p>
        </w:tc>
        <w:tc>
          <w:tcPr>
            <w:tcW w:type="dxa" w:w="1080"/>
          </w:tcPr>
          <w:p>
            <w:r>
              <w:rPr>
                <w:b/>
              </w:rPr>
              <w:t>Weeks to stockout</w:t>
            </w:r>
          </w:p>
        </w:tc>
        <w:tc>
          <w:tcPr>
            <w:tcW w:type="dxa" w:w="1080"/>
          </w:tcPr>
          <w:p>
            <w:r>
              <w:rPr>
                <w:b/>
              </w:rPr>
              <w:t>Lead time</w:t>
            </w:r>
          </w:p>
        </w:tc>
        <w:tc>
          <w:tcPr>
            <w:tcW w:type="dxa" w:w="1080"/>
          </w:tcPr>
          <w:p>
            <w:r>
              <w:rPr>
                <w:b/>
              </w:rPr>
              <w:t>Quantity</w:t>
            </w:r>
          </w:p>
        </w:tc>
        <w:tc>
          <w:tcPr>
            <w:tcW w:type="dxa" w:w="1080"/>
          </w:tcPr>
          <w:p>
            <w:r>
              <w:rPr>
                <w:b/>
              </w:rPr>
              <w:t>Order by</w:t>
            </w:r>
          </w:p>
        </w:tc>
        <w:tc>
          <w:tcPr>
            <w:tcW w:type="dxa" w:w="1080"/>
          </w:tcPr>
          <w:p>
            <w:r>
              <w:rPr>
                <w:b/>
              </w:rPr>
              <w:t>Deliver by</w:t>
            </w:r>
          </w:p>
        </w:tc>
      </w:tr>
      <w:tr>
        <w:tc>
          <w:tcPr>
            <w:tcW w:type="dxa" w:w="1080"/>
          </w:tcPr>
          <w:p>
            <w:r>
              <w:rPr/>
              <w:t>BearingCap</w:t>
            </w:r>
          </w:p>
        </w:tc>
        <w:tc>
          <w:tcPr>
            <w:tcW w:type="dxa" w:w="1080"/>
          </w:tcPr>
          <w:p>
            <w:r>
              <w:rPr/>
              <w:t>520001</w:t>
            </w:r>
          </w:p>
        </w:tc>
        <w:tc>
          <w:tcPr>
            <w:tcW w:type="dxa" w:w="1080"/>
          </w:tcPr>
          <w:p>
            <w:r>
              <w:rPr>
                <w:b/>
                <w:color w:val="C00000"/>
              </w:rPr>
              <w:t>Critical</w:t>
            </w:r>
          </w:p>
        </w:tc>
        <w:tc>
          <w:tcPr>
            <w:tcW w:type="dxa" w:w="1080"/>
          </w:tcPr>
          <w:p>
            <w:r>
              <w:rPr/>
              <w:t>12</w:t>
            </w:r>
          </w:p>
        </w:tc>
        <w:tc>
          <w:tcPr>
            <w:tcW w:type="dxa" w:w="1080"/>
          </w:tcPr>
          <w:p>
            <w:r>
              <w:rPr>
                <w:highlight w:val="yellow"/>
              </w:rPr>
              <w:t>18 → 22 weeks</w:t>
            </w:r>
          </w:p>
        </w:tc>
        <w:tc>
          <w:tcPr>
            <w:tcW w:type="dxa" w:w="1080"/>
          </w:tcPr>
          <w:p>
            <w:r>
              <w:rPr/>
              <w:t>1,300</w:t>
            </w:r>
          </w:p>
        </w:tc>
        <w:tc>
          <w:tcPr>
            <w:tcW w:type="dxa" w:w="1080"/>
          </w:tcPr>
          <w:p>
            <w:r>
              <w:rPr>
                <w:highlight w:val="yellow"/>
              </w:rPr>
              <w:t>2025-04-05∗</w:t>
            </w:r>
          </w:p>
        </w:tc>
        <w:tc>
          <w:tcPr>
            <w:tcW w:type="dxa" w:w="1080"/>
          </w:tcPr>
          <w:p>
            <w:r>
              <w:rPr/>
              <w:t>2025-06-28</w:t>
            </w:r>
          </w:p>
        </w:tc>
      </w:tr>
      <w:tr>
        <w:tc>
          <w:tcPr>
            <w:tcW w:type="dxa" w:w="1080"/>
          </w:tcPr>
          <w:p>
            <w:r>
              <w:rPr/>
              <w:t>ThrustWasher</w:t>
            </w:r>
          </w:p>
        </w:tc>
        <w:tc>
          <w:tcPr>
            <w:tcW w:type="dxa" w:w="1080"/>
          </w:tcPr>
          <w:p>
            <w:r>
              <w:rPr/>
              <w:t>520006</w:t>
            </w:r>
          </w:p>
        </w:tc>
        <w:tc>
          <w:tcPr>
            <w:tcW w:type="dxa" w:w="1080"/>
          </w:tcPr>
          <w:p>
            <w:r>
              <w:rPr>
                <w:highlight w:val="yellow"/>
              </w:rPr>
              <w:t xml:space="preserve">High → </w:t>
            </w:r>
            <w:r>
              <w:rPr>
                <w:b/>
                <w:color w:val="C00000"/>
                <w:highlight w:val="yellow"/>
              </w:rPr>
              <w:t>Critical</w:t>
            </w:r>
          </w:p>
        </w:tc>
        <w:tc>
          <w:tcPr>
            <w:tcW w:type="dxa" w:w="1080"/>
          </w:tcPr>
          <w:p>
            <w:r>
              <w:rPr/>
              <w:t>20</w:t>
            </w:r>
          </w:p>
        </w:tc>
        <w:tc>
          <w:tcPr>
            <w:tcW w:type="dxa" w:w="1080"/>
          </w:tcPr>
          <w:p>
            <w:r>
              <w:rPr>
                <w:highlight w:val="yellow"/>
              </w:rPr>
              <w:t>18 → 22 weeks</w:t>
            </w:r>
          </w:p>
        </w:tc>
        <w:tc>
          <w:tcPr>
            <w:tcW w:type="dxa" w:w="1080"/>
          </w:tcPr>
          <w:p>
            <w:r>
              <w:rPr/>
              <w:t>2,340</w:t>
            </w:r>
          </w:p>
        </w:tc>
        <w:tc>
          <w:tcPr>
            <w:tcW w:type="dxa" w:w="1080"/>
          </w:tcPr>
          <w:p>
            <w:r>
              <w:rPr>
                <w:highlight w:val="yellow"/>
              </w:rPr>
              <w:t>2025-04-19 → 2025-04-05∗</w:t>
            </w:r>
          </w:p>
        </w:tc>
        <w:tc>
          <w:tcPr>
            <w:tcW w:type="dxa" w:w="1080"/>
          </w:tcPr>
          <w:p>
            <w:r>
              <w:rPr/>
              <w:t>2025-08-23</w:t>
            </w:r>
          </w:p>
        </w:tc>
      </w:tr>
      <w:tr>
        <w:tc>
          <w:tcPr>
            <w:tcW w:type="dxa" w:w="1080"/>
          </w:tcPr>
          <w:p>
            <w:r>
              <w:rPr/>
              <w:t>ValveSeat</w:t>
            </w:r>
          </w:p>
        </w:tc>
        <w:tc>
          <w:tcPr>
            <w:tcW w:type="dxa" w:w="1080"/>
          </w:tcPr>
          <w:p>
            <w:r>
              <w:rPr/>
              <w:t>520002</w:t>
            </w:r>
          </w:p>
        </w:tc>
        <w:tc>
          <w:tcPr>
            <w:tcW w:type="dxa" w:w="1080"/>
          </w:tcPr>
          <w:p>
            <w:r>
              <w:rPr/>
              <w:t>High</w:t>
            </w:r>
          </w:p>
        </w:tc>
        <w:tc>
          <w:tcPr>
            <w:tcW w:type="dxa" w:w="1080"/>
          </w:tcPr>
          <w:p>
            <w:r>
              <w:rPr/>
              <w:t>22</w:t>
            </w:r>
          </w:p>
        </w:tc>
        <w:tc>
          <w:tcPr>
            <w:tcW w:type="dxa" w:w="1080"/>
          </w:tcPr>
          <w:p>
            <w:r>
              <w:rPr>
                <w:highlight w:val="yellow"/>
              </w:rPr>
              <w:t>18 → 22 weeks</w:t>
            </w:r>
          </w:p>
        </w:tc>
        <w:tc>
          <w:tcPr>
            <w:tcW w:type="dxa" w:w="1080"/>
          </w:tcPr>
          <w:p>
            <w:r>
              <w:rPr/>
              <w:t>2,600</w:t>
            </w:r>
          </w:p>
        </w:tc>
        <w:tc>
          <w:tcPr>
            <w:tcW w:type="dxa" w:w="1080"/>
          </w:tcPr>
          <w:p>
            <w:r>
              <w:rPr>
                <w:highlight w:val="yellow"/>
              </w:rPr>
              <w:t>2025-05-03 → 2025-04-05∗</w:t>
            </w:r>
          </w:p>
        </w:tc>
        <w:tc>
          <w:tcPr>
            <w:tcW w:type="dxa" w:w="1080"/>
          </w:tcPr>
          <w:p>
            <w:r>
              <w:rPr/>
              <w:t>2025-09-06</w:t>
            </w:r>
          </w:p>
        </w:tc>
      </w:tr>
      <w:tr>
        <w:tc>
          <w:tcPr>
            <w:tcW w:type="dxa" w:w="1080"/>
          </w:tcPr>
          <w:p>
            <w:r>
              <w:rPr/>
              <w:t>GasketKit</w:t>
            </w:r>
          </w:p>
        </w:tc>
        <w:tc>
          <w:tcPr>
            <w:tcW w:type="dxa" w:w="1080"/>
          </w:tcPr>
          <w:p>
            <w:r>
              <w:rPr/>
              <w:t>520003</w:t>
            </w:r>
          </w:p>
        </w:tc>
        <w:tc>
          <w:tcPr>
            <w:tcW w:type="dxa" w:w="1080"/>
          </w:tcPr>
          <w:p>
            <w:r>
              <w:rPr/>
              <w:t>High</w:t>
            </w:r>
          </w:p>
        </w:tc>
        <w:tc>
          <w:tcPr>
            <w:tcW w:type="dxa" w:w="1080"/>
          </w:tcPr>
          <w:p>
            <w:r>
              <w:rPr/>
              <w:t>24</w:t>
            </w:r>
          </w:p>
        </w:tc>
        <w:tc>
          <w:tcPr>
            <w:tcW w:type="dxa" w:w="1080"/>
          </w:tcPr>
          <w:p>
            <w:r>
              <w:rPr>
                <w:highlight w:val="yellow"/>
              </w:rPr>
              <w:t>18 → 22 weeks</w:t>
            </w:r>
          </w:p>
        </w:tc>
        <w:tc>
          <w:tcPr>
            <w:tcW w:type="dxa" w:w="1080"/>
          </w:tcPr>
          <w:p>
            <w:r>
              <w:rPr/>
              <w:t>5,200</w:t>
            </w:r>
          </w:p>
        </w:tc>
        <w:tc>
          <w:tcPr>
            <w:tcW w:type="dxa" w:w="1080"/>
          </w:tcPr>
          <w:p>
            <w:r>
              <w:rPr>
                <w:highlight w:val="yellow"/>
              </w:rPr>
              <w:t>2025-05-17 → 2025-04-19</w:t>
            </w:r>
          </w:p>
        </w:tc>
        <w:tc>
          <w:tcPr>
            <w:tcW w:type="dxa" w:w="1080"/>
          </w:tcPr>
          <w:p>
            <w:r>
              <w:rPr/>
              <w:t>2025-09-20</w:t>
            </w:r>
          </w:p>
        </w:tc>
      </w:tr>
      <w:tr>
        <w:tc>
          <w:tcPr>
            <w:tcW w:type="dxa" w:w="1080"/>
          </w:tcPr>
          <w:p>
            <w:r>
              <w:rPr/>
              <w:t>SpringClip</w:t>
            </w:r>
          </w:p>
        </w:tc>
        <w:tc>
          <w:tcPr>
            <w:tcW w:type="dxa" w:w="1080"/>
          </w:tcPr>
          <w:p>
            <w:r>
              <w:rPr/>
              <w:t>520007</w:t>
            </w:r>
          </w:p>
        </w:tc>
        <w:tc>
          <w:tcPr>
            <w:tcW w:type="dxa" w:w="1080"/>
          </w:tcPr>
          <w:p>
            <w:r>
              <w:rPr>
                <w:highlight w:val="yellow"/>
              </w:rPr>
              <w:t>Medium → High</w:t>
            </w:r>
          </w:p>
        </w:tc>
        <w:tc>
          <w:tcPr>
            <w:tcW w:type="dxa" w:w="1080"/>
          </w:tcPr>
          <w:p>
            <w:r>
              <w:rPr/>
              <w:t>28</w:t>
            </w:r>
          </w:p>
        </w:tc>
        <w:tc>
          <w:tcPr>
            <w:tcW w:type="dxa" w:w="1080"/>
          </w:tcPr>
          <w:p>
            <w:r>
              <w:rPr>
                <w:highlight w:val="yellow"/>
              </w:rPr>
              <w:t>18 → 22 weeks</w:t>
            </w:r>
          </w:p>
        </w:tc>
        <w:tc>
          <w:tcPr>
            <w:tcW w:type="dxa" w:w="1080"/>
          </w:tcPr>
          <w:p>
            <w:r>
              <w:rPr/>
              <w:t>2,600</w:t>
            </w:r>
          </w:p>
        </w:tc>
        <w:tc>
          <w:tcPr>
            <w:tcW w:type="dxa" w:w="1080"/>
          </w:tcPr>
          <w:p>
            <w:r>
              <w:rPr>
                <w:highlight w:val="yellow"/>
              </w:rPr>
              <w:t>2025-06-14 → 2025-05-17</w:t>
            </w:r>
          </w:p>
        </w:tc>
        <w:tc>
          <w:tcPr>
            <w:tcW w:type="dxa" w:w="1080"/>
          </w:tcPr>
          <w:p>
            <w:r>
              <w:rPr/>
              <w:t>2025-10-18</w:t>
            </w:r>
          </w:p>
        </w:tc>
      </w:tr>
      <w:tr>
        <w:tc>
          <w:tcPr>
            <w:tcW w:type="dxa" w:w="1080"/>
          </w:tcPr>
          <w:p>
            <w:r>
              <w:rPr/>
              <w:t>PistonRing</w:t>
            </w:r>
          </w:p>
        </w:tc>
        <w:tc>
          <w:tcPr>
            <w:tcW w:type="dxa" w:w="1080"/>
          </w:tcPr>
          <w:p>
            <w:r>
              <w:rPr/>
              <w:t>520004</w:t>
            </w:r>
          </w:p>
        </w:tc>
        <w:tc>
          <w:tcPr>
            <w:tcW w:type="dxa" w:w="1080"/>
          </w:tcPr>
          <w:p>
            <w:r>
              <w:rPr/>
              <w:t>Medium</w:t>
            </w:r>
          </w:p>
        </w:tc>
        <w:tc>
          <w:tcPr>
            <w:tcW w:type="dxa" w:w="1080"/>
          </w:tcPr>
          <w:p>
            <w:r>
              <w:rPr/>
              <w:t>30</w:t>
            </w:r>
          </w:p>
        </w:tc>
        <w:tc>
          <w:tcPr>
            <w:tcW w:type="dxa" w:w="1080"/>
          </w:tcPr>
          <w:p>
            <w:r>
              <w:rPr>
                <w:highlight w:val="yellow"/>
              </w:rPr>
              <w:t>18 → 22 weeks</w:t>
            </w:r>
          </w:p>
        </w:tc>
        <w:tc>
          <w:tcPr>
            <w:tcW w:type="dxa" w:w="1080"/>
          </w:tcPr>
          <w:p>
            <w:r>
              <w:rPr/>
              <w:t>1,300</w:t>
            </w:r>
          </w:p>
        </w:tc>
        <w:tc>
          <w:tcPr>
            <w:tcW w:type="dxa" w:w="1080"/>
          </w:tcPr>
          <w:p>
            <w:r>
              <w:rPr>
                <w:highlight w:val="yellow"/>
              </w:rPr>
              <w:t>2025-06-28 → 2025-05-31</w:t>
            </w:r>
          </w:p>
        </w:tc>
        <w:tc>
          <w:tcPr>
            <w:tcW w:type="dxa" w:w="1080"/>
          </w:tcPr>
          <w:p>
            <w:r>
              <w:rPr/>
              <w:t>2025-11-01</w:t>
            </w:r>
          </w:p>
        </w:tc>
      </w:tr>
    </w:tbl>
    <w:p/>
    <w:p/>
    <w:p>
      <w:r>
        <w:rPr>
          <w:i/>
          <w:color w:val="C00000"/>
        </w:rPr>
        <w:t>∗ BearingCap should have been ordered by 2025-01-25 (lead time 22 weeks); it is overdue.</w:t>
      </w:r>
    </w:p>
    <w:p>
      <w:r>
        <w:rPr>
          <w:i/>
          <w:color w:val="C00000"/>
        </w:rPr>
        <w:t>∗ ThrustWasher should have been ordered by 2025-03-22 (lead time 22 weeks); it is overdue.</w:t>
      </w:r>
    </w:p>
    <w:p>
      <w:r>
        <w:rPr>
          <w:i/>
          <w:color w:val="C00000"/>
        </w:rPr>
        <w:t>∗ ValveSeat should have been ordered by 2025-04-05 (lead time 22 weeks); it is overdue.</w:t>
      </w:r>
    </w:p>
    <w:p/>
    <w:p>
      <w:r>
        <w:rPr/>
        <w:t>Unit price and total: to be confirmed with the supplier.</w:t>
      </w:r>
    </w:p>
    <w:p/>
    <w:p>
      <w:pPr>
        <w:pStyle w:val="Heading1"/>
      </w:pPr>
      <w:r>
        <w:rPr/>
        <w:t>Supporting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bl>
    <w:p/>
    <w:p/>
    <w:p>
      <w:pPr>
        <w:pStyle w:val="Heading1"/>
      </w:pPr>
      <w:r>
        <w:rPr/>
        <w:t>Approval</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rPr/>
              <w:t>Purchasing Manager</w:t>
            </w:r>
          </w:p>
        </w:tc>
        <w:tc>
          <w:tcPr>
            <w:tcW w:type="dxa" w:w="2160"/>
          </w:tcPr>
          <w:p/>
        </w:tc>
        <w:tc>
          <w:tcPr>
            <w:tcW w:type="dxa" w:w="2160"/>
          </w:tcPr>
          <w:p/>
        </w:tc>
        <w:tc>
          <w:tcPr>
            <w:tcW w:type="dxa" w:w="2160"/>
          </w:tcPr>
          <w:p/>
        </w:tc>
      </w:tr>
      <w:tr>
        <w:tc>
          <w:tcPr>
            <w:tcW w:type="dxa" w:w="2160"/>
          </w:tcPr>
          <w:p>
            <w:r>
              <w:rPr/>
              <w:t>Operations Director</w:t>
            </w:r>
          </w:p>
        </w:tc>
        <w:tc>
          <w:tcPr>
            <w:tcW w:type="dxa" w:w="2160"/>
          </w:tcPr>
          <w:p/>
        </w:tc>
        <w:tc>
          <w:tcPr>
            <w:tcW w:type="dxa" w:w="2160"/>
          </w:tcPr>
          <w:p/>
        </w:tc>
        <w:tc>
          <w:tcPr>
            <w:tcW w:type="dxa" w:w="2160"/>
          </w:tcPr>
          <w:p/>
        </w:tc>
      </w:tr>
      <w:tr>
        <w:tc>
          <w:tcPr>
            <w:tcW w:type="dxa" w:w="2160"/>
          </w:tcPr>
          <w:p>
            <w:r>
              <w:rPr/>
              <w:t>Finance Officer</w:t>
            </w:r>
          </w:p>
        </w:tc>
        <w:tc>
          <w:tcPr>
            <w:tcW w:type="dxa" w:w="2160"/>
          </w:tcPr>
          <w:p/>
        </w:tc>
        <w:tc>
          <w:tcPr>
            <w:tcW w:type="dxa" w:w="2160"/>
          </w:tcPr>
          <w:p/>
        </w:tc>
        <w:tc>
          <w:tcPr>
            <w:tcW w:type="dxa" w:w="2160"/>
          </w:tcP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