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Purchasing Analysis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**Report Date:** 2025-04-05  </w:t>
      </w:r>
    </w:p>
    <w:p w:rsidR="00000000" w:rsidDel="00000000" w:rsidP="00000000" w:rsidRDefault="00000000" w:rsidRPr="00000000" w14:paraId="00000004">
      <w:pPr>
        <w:rPr/>
      </w:pPr>
      <w:r w:rsidDel="00000000" w:rsidR="00000000" w:rsidRPr="00000000">
        <w:rPr>
          <w:rtl w:val="0"/>
        </w:rPr>
        <w:t xml:space="preserve">**Supplier:** SupplierB  </w:t>
      </w:r>
    </w:p>
    <w:p w:rsidR="00000000" w:rsidDel="00000000" w:rsidP="00000000" w:rsidRDefault="00000000" w:rsidRPr="00000000" w14:paraId="00000005">
      <w:pPr>
        <w:rPr/>
      </w:pPr>
      <w:r w:rsidDel="00000000" w:rsidR="00000000" w:rsidRPr="00000000">
        <w:rPr>
          <w:rtl w:val="0"/>
        </w:rPr>
        <w:t xml:space="preserve">**Items:** ItemC (100002)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Executive Summary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report reviews ItemC (100002) supplied by SupplierB. The item currently holds a medium risk level with an ample stock of 46 weeks to projected out-of-stock. The planning horizon for this replenishment is notably long, with the recommended latest PO date in October 2025 and delivery schedule extending into February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 relevant supplier or item history was found for SupplierB and ItemC, so the analysis is based solely on current stock projections and timeline guidelines. While there are no identified supplier reliability issues, the absence of historical insights means risk is determined only from inventory outlook.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Item Overview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ItemCode | ItemName | CurrentStock | WksToOOS | RiskLevel | SuggestedQty |</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100002   | ItemC    | 300          | 46       | Medium    | 170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Key Concerns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There is no available supplier or item history for ItemC, limiting the risk assessment to current projections.</w:t>
      </w:r>
    </w:p>
    <w:p w:rsidR="00000000" w:rsidDel="00000000" w:rsidP="00000000" w:rsidRDefault="00000000" w:rsidRPr="00000000" w14:paraId="0000001C">
      <w:pPr>
        <w:rPr/>
      </w:pPr>
      <w:r w:rsidDel="00000000" w:rsidR="00000000" w:rsidRPr="00000000">
        <w:rPr>
          <w:rtl w:val="0"/>
        </w:rPr>
        <w:t xml:space="preserve">- Future demand or supply variability could impact available stock, and related contingencies are unclear.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Recommended Actions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Monitor sales and usage trends for ItemC to detect any changes that might impact the 46-week stock outlook.</w:t>
      </w:r>
    </w:p>
    <w:p w:rsidR="00000000" w:rsidDel="00000000" w:rsidP="00000000" w:rsidRDefault="00000000" w:rsidRPr="00000000" w14:paraId="00000023">
      <w:pPr>
        <w:rPr/>
      </w:pPr>
      <w:r w:rsidDel="00000000" w:rsidR="00000000" w:rsidRPr="00000000">
        <w:rPr>
          <w:rtl w:val="0"/>
        </w:rPr>
        <w:t xml:space="preserve">- Engage proactively with SupplierB to reconfirm lead times and validate the replenishment timeline.</w:t>
      </w:r>
    </w:p>
    <w:p w:rsidR="00000000" w:rsidDel="00000000" w:rsidP="00000000" w:rsidRDefault="00000000" w:rsidRPr="00000000" w14:paraId="00000024">
      <w:pPr>
        <w:rPr/>
      </w:pPr>
      <w:r w:rsidDel="00000000" w:rsidR="00000000" w:rsidRPr="00000000">
        <w:rPr>
          <w:rtl w:val="0"/>
        </w:rPr>
        <w:t xml:space="preserve">- Review contingency plans for ItemC to address potential supply or demand fluctuations.</w:t>
      </w:r>
    </w:p>
    <w:p w:rsidR="00000000" w:rsidDel="00000000" w:rsidP="00000000" w:rsidRDefault="00000000" w:rsidRPr="00000000" w14:paraId="00000025">
      <w:pPr>
        <w:rPr/>
      </w:pPr>
      <w:r w:rsidDel="00000000" w:rsidR="00000000" w:rsidRPr="00000000">
        <w:rPr>
          <w:rtl w:val="0"/>
        </w:rPr>
        <w:t xml:space="preserve">- Schedule regular stock evaluations for ItemC to respond swiftly if risk levels change.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Recommended Deadlines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ItemCode | ItemName | Recommended Latest PO Date | Recommended Latest Delivery Date |</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100002   | ItemC    | 2025-10-18                | 2026-02-21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