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 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17.02</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19.42</w:t>
            </w:r>
          </w:p>
        </w:tc>
      </w:tr>
    </w:tbl>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组别</w:t>
            </w:r>
          </w:p>
        </w:tc>
        <w:tc>
          <w:tcPr>
            <w:tcW w:type="dxa" w:w="1361"/>
          </w:tcPr>
          <w:p>
            <w:r>
              <w:t>Kernel 数</w:t>
            </w:r>
          </w:p>
        </w:tc>
        <w:tc>
          <w:tcPr>
            <w:tcW w:type="dxa" w:w="1361"/>
          </w:tcPr>
          <w:p>
            <w:r>
              <w:t>B1</w:t>
            </w:r>
          </w:p>
        </w:tc>
        <w:tc>
          <w:tcPr>
            <w:tcW w:type="dxa" w:w="1701"/>
          </w:tcPr>
          <w:p>
            <w:r>
              <w:t>B2</w:t>
            </w:r>
          </w:p>
        </w:tc>
        <w:tc>
          <w:tcPr>
            <w:tcW w:type="dxa" w:w="1587"/>
          </w:tcPr>
          <w:p>
            <w:r>
              <w:t>FULL</w:t>
            </w:r>
          </w:p>
        </w:tc>
        <w:tc>
          <w:tcPr>
            <w:tcW w:type="dxa" w:w="1224"/>
          </w:tcPr>
          <w:p>
            <w:r>
              <w:t>FULL 中位数</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共六种设置。为控制敏感性扫描成本，每种设置采用每算子 5 次 NPU 评测的便宜层预算；因此本节 GM(S) 用于六种阈值设置之间的横向比较，不与 3.1 的 13 次完整搜索预算作绝对数值比较。</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1.1315</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1.1664</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1.1323</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1.1220</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1.2547</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1.1770</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由表5可见，不设置去重时 GM(S) 为 1.1315；启用去重后，τ=0.70、0.80、0.90 和 0.95 的 GM(S) 高于该基准，而 τ=0.85 略低。τ=0.90 取得六种设置中的最高值 1.2547，较不筛选提升 10.9%。这表明种子去重的收益依赖阈值选择，合理阈值能够减少冗余种子并改善有限预算下的搜索起点。</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列），说明机制启停造成的结构变化大于相邻阈值微调。在 τ 取 0.70 至 0.95 的区间内，GM(S) 介于 1.1220 与 1.2547 之间。由于每种设置仅执行一轮搜索且采用 5-eval 预算，这些差异仍可能包含采样波动；本文据观测最优值选择 τ=0.90，而不将该单次扫描解释为统计显著性结论。</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在本次扫描中取得最高 GM(S)=1.2547，因此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w:t>
      </w:r>
    </w:p>
    <w:p>
      <w:pPr>
        <w:ind w:firstLine="420"/>
      </w:pPr>
      <w:r>
        <w:rPr>
          <w:rFonts w:ascii="宋体" w:hAnsi="宋体" w:eastAsia="宋体"/>
          <w:b w:val="0"/>
          <w:sz w:val="21"/>
        </w:rPr>
        <w:t>主表统一使用同一批 15 个代表性算子和正式 r0 日志，报告有效候选率与最终加速比 GM(S)。有效候选率表示送交 NPU 评测的候选中，最终完成编译、功能验证并获得有效延迟的比例；GM(S) 使用与 3.1 一致的串行复测口径。各配置实际送评测数为 187 至 194，差异来自 AST 拒绝或候选生成不足，因此有效候选率按各配置实际送评测数计算。编译成功率、功能通过率和 AST 拒绝原因仍保留在实验日志中。</w:t>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有效候选率</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92.23%</w:t>
            </w:r>
          </w:p>
        </w:tc>
        <w:tc>
          <w:tcPr>
            <w:tcW w:type="dxa" w:w="1361"/>
          </w:tcPr>
          <w:p>
            <w:pPr>
              <w:jc w:val="center"/>
            </w:pPr>
            <w:r/>
            <w:r>
              <w:rPr>
                <w:rFonts w:ascii="宋体" w:hAnsi="宋体" w:eastAsia="宋体"/>
                <w:b w:val="0"/>
                <w:sz w:val="19"/>
              </w:rPr>
              <w:t>2.2566</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90.00%</w:t>
            </w:r>
          </w:p>
        </w:tc>
        <w:tc>
          <w:tcPr>
            <w:tcW w:type="dxa" w:w="1361"/>
          </w:tcPr>
          <w:p>
            <w:pPr>
              <w:jc w:val="center"/>
            </w:pPr>
            <w:r/>
            <w:r>
              <w:rPr>
                <w:rFonts w:ascii="宋体" w:hAnsi="宋体" w:eastAsia="宋体"/>
                <w:b w:val="0"/>
                <w:sz w:val="19"/>
              </w:rPr>
              <w:t>2.2715</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92.27%</w:t>
            </w:r>
          </w:p>
        </w:tc>
        <w:tc>
          <w:tcPr>
            <w:tcW w:type="dxa" w:w="1361"/>
          </w:tcPr>
          <w:p>
            <w:pPr>
              <w:jc w:val="center"/>
            </w:pPr>
            <w:r/>
            <w:r>
              <w:rPr>
                <w:rFonts w:ascii="宋体" w:hAnsi="宋体" w:eastAsia="宋体"/>
                <w:b w:val="0"/>
                <w:sz w:val="19"/>
              </w:rPr>
              <w:t>1.9697</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87.70%</w:t>
            </w:r>
          </w:p>
        </w:tc>
        <w:tc>
          <w:tcPr>
            <w:tcW w:type="dxa" w:w="1361"/>
          </w:tcPr>
          <w:p>
            <w:pPr>
              <w:jc w:val="center"/>
            </w:pPr>
            <w:r/>
            <w:r>
              <w:rPr>
                <w:rFonts w:ascii="宋体" w:hAnsi="宋体" w:eastAsia="宋体"/>
                <w:b w:val="0"/>
                <w:sz w:val="19"/>
              </w:rPr>
              <w:t>2.1550</w:t>
            </w:r>
          </w:p>
        </w:tc>
      </w:tr>
    </w:tbl>
    <w:p>
      <w:pPr>
        <w:spacing w:after="40"/>
      </w:pPr>
    </w:p>
    <w:p>
      <w:pPr>
        <w:ind w:firstLine="420"/>
      </w:pPr>
      <w:r>
        <w:rPr>
          <w:rFonts w:ascii="宋体" w:hAnsi="宋体" w:eastAsia="宋体"/>
          <w:b w:val="0"/>
          <w:sz w:val="21"/>
        </w:rPr>
        <w:t>表6显示，在统一的 15 个算子上，A6、B3、B4 与 FULL 的有效候选率分别为 92.23%、90.00%、92.27% 和 87.70%，GM(S) 分别为 2.2566、2.2715、1.9697 和 2.1550。普通语义 Top-k 的 B4 在本次实验中最终性能最低，说明仅依赖向量相似度不足以稳定筛选适用的优化知识；混合重排与 Guard 约束使 FULL 的 GM(S) 较 B4 提高约 9.4%。另一方面，A6 和 B3 的单次 GM(S) 高于 FULL，而 FULL 的有效候选率也不是最高，因此当前结果不能支持“每个组件均独立带来单调增益”的结论。更合理的解释是，Profiling、RAG 与进化搜索之间存在交互，候选有效率与最终性能也并非严格正相关；本表主要证明检索策略会显著改变搜索结果，组件独立贡献仍需结合更多随机种子复现实验判断。</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w:t>
      </w:r>
    </w:p>
    <w:p>
      <w:pPr>
        <w:spacing w:before="160" w:after="80"/>
      </w:pPr>
      <w:r>
        <w:rPr>
          <w:rFonts w:ascii="黑体" w:hAnsi="黑体" w:eastAsia="黑体"/>
          <w:b/>
          <w:sz w:val="21"/>
        </w:rPr>
        <w:t>3.4.1 轮盘赌与三元锦标赛父代选择</w:t>
      </w:r>
    </w:p>
    <w:p>
      <w:pPr>
        <w:ind w:firstLine="420"/>
      </w:pPr>
      <w:r>
        <w:rPr>
          <w:rFonts w:ascii="宋体" w:hAnsi="宋体" w:eastAsia="宋体"/>
          <w:b w:val="0"/>
          <w:sz w:val="21"/>
        </w:rPr>
        <w:t>选择策略实验比较轮盘赌与三元锦标赛。轮盘赌按适应度比例采样父代，锦标赛则每次随机抽取 3 个候选并取其中适应度最高者。为直接反映选择策略本身的作用，实验记录搜索过程中每次被实际选中父代的适应度，并以全部选择事件的平均值作为被选父代平均适应度，用于衡量不同策略实际施加的选择压力；同时比较两种策略下的最终 GM(S)。</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轮盘赌选择</w:t>
            </w:r>
          </w:p>
        </w:tc>
        <w:tc>
          <w:tcPr>
            <w:tcW w:type="dxa" w:w="2494"/>
          </w:tcPr>
          <w:p>
            <w:pPr>
              <w:jc w:val="center"/>
            </w:pPr>
            <w:r/>
            <w:r>
              <w:rPr>
                <w:rFonts w:ascii="宋体" w:hAnsi="宋体" w:eastAsia="宋体"/>
                <w:b w:val="0"/>
                <w:sz w:val="19"/>
              </w:rPr>
              <w:t>【待填】</w:t>
            </w:r>
          </w:p>
        </w:tc>
        <w:tc>
          <w:tcPr>
            <w:tcW w:type="dxa" w:w="2154"/>
          </w:tcPr>
          <w:p>
            <w:pPr>
              <w:jc w:val="center"/>
            </w:pPr>
            <w:r/>
            <w:r>
              <w:rPr>
                <w:rFonts w:ascii="宋体" w:hAnsi="宋体" w:eastAsia="宋体"/>
                <w:b w:val="0"/>
                <w:sz w:val="19"/>
              </w:rPr>
              <w:t>【待填】</w:t>
            </w:r>
          </w:p>
        </w:tc>
      </w:tr>
      <w:tr>
        <w:tc>
          <w:tcPr>
            <w:tcW w:type="dxa" w:w="2268"/>
          </w:tcPr>
          <w:p>
            <w:pPr>
              <w:jc w:val="center"/>
            </w:pPr>
            <w:r/>
            <w:r>
              <w:rPr>
                <w:rFonts w:ascii="宋体" w:hAnsi="宋体" w:eastAsia="宋体"/>
                <w:b w:val="0"/>
                <w:sz w:val="19"/>
              </w:rPr>
              <w:t>三元锦标赛选择</w:t>
            </w:r>
          </w:p>
        </w:tc>
        <w:tc>
          <w:tcPr>
            <w:tcW w:type="dxa" w:w="2494"/>
          </w:tcPr>
          <w:p>
            <w:pPr>
              <w:jc w:val="center"/>
            </w:pPr>
            <w:r/>
            <w:r>
              <w:rPr>
                <w:rFonts w:ascii="宋体" w:hAnsi="宋体" w:eastAsia="宋体"/>
                <w:b w:val="0"/>
                <w:sz w:val="19"/>
              </w:rPr>
              <w:t>【待填】</w:t>
            </w:r>
          </w:p>
        </w:tc>
        <w:tc>
          <w:tcPr>
            <w:tcW w:type="dxa" w:w="2154"/>
          </w:tcPr>
          <w:p>
            <w:pPr>
              <w:jc w:val="center"/>
            </w:pPr>
            <w:r/>
            <w:r>
              <w:rPr>
                <w:rFonts w:ascii="宋体" w:hAnsi="宋体" w:eastAsia="宋体"/>
                <w:b w:val="0"/>
                <w:sz w:val="19"/>
              </w:rPr>
              <w:t>【待填】</w:t>
            </w:r>
          </w:p>
        </w:tc>
      </w:tr>
    </w:tbl>
    <w:p>
      <w:pPr>
        <w:spacing w:after="40"/>
      </w:pP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【待填】</w:t>
            </w:r>
          </w:p>
        </w:tc>
        <w:tc>
          <w:tcPr>
            <w:tcW w:type="dxa" w:w="2381"/>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【待填】</w:t>
            </w:r>
          </w:p>
        </w:tc>
        <w:tc>
          <w:tcPr>
            <w:tcW w:type="dxa" w:w="2381"/>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r>
    </w:tbl>
    <w:p>
      <w:pPr>
        <w:spacing w:after="40"/>
      </w:pP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160" w:after="200"/>
        <w:jc w:val="center"/>
      </w:pPr>
      <w:r>
        <w:rPr>
          <w:rFonts w:ascii="黑体" w:hAnsi="黑体" w:eastAsia="黑体"/>
          <w:b/>
          <w:sz w:val="19"/>
        </w:rPr>
        <w:t>表9 三种变异策略总体对比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
              <w:rPr>
                <w:rFonts w:ascii="黑体" w:hAnsi="黑体" w:eastAsia="黑体"/>
                <w:b/>
                <w:sz w:val="19"/>
              </w:rPr>
              <w:t>变异策略</w:t>
            </w:r>
          </w:p>
        </w:tc>
        <w:tc>
          <w:tcPr>
            <w:tcW w:type="dxa" w:w="1474"/>
          </w:tcPr>
          <w:p>
            <w:pPr>
              <w:jc w:val="center"/>
            </w:pPr>
            <w:r/>
            <w:r>
              <w:rPr>
                <w:rFonts w:ascii="黑体" w:hAnsi="黑体" w:eastAsia="黑体"/>
                <w:b/>
                <w:sz w:val="19"/>
              </w:rPr>
              <w:t>有效变异率</w:t>
            </w:r>
          </w:p>
        </w:tc>
        <w:tc>
          <w:tcPr>
            <w:tcW w:type="dxa" w:w="1474"/>
          </w:tcPr>
          <w:p>
            <w:pPr>
              <w:jc w:val="center"/>
            </w:pPr>
            <w:r/>
            <w:r>
              <w:rPr>
                <w:rFonts w:ascii="黑体" w:hAnsi="黑体" w:eastAsia="黑体"/>
                <w:b/>
                <w:sz w:val="19"/>
              </w:rPr>
              <w:t>优化成功率</w:t>
            </w:r>
          </w:p>
        </w:tc>
        <w:tc>
          <w:tcPr>
            <w:tcW w:type="dxa" w:w="1474"/>
          </w:tcPr>
          <w:p>
            <w:pPr>
              <w:jc w:val="center"/>
            </w:pPr>
            <w:r/>
            <w:r>
              <w:rPr>
                <w:rFonts w:ascii="黑体" w:hAnsi="黑体" w:eastAsia="黑体"/>
                <w:b/>
                <w:sz w:val="19"/>
              </w:rPr>
              <w:t>GM(G_mut)</w:t>
            </w:r>
          </w:p>
        </w:tc>
        <w:tc>
          <w:tcPr>
            <w:tcW w:type="dxa" w:w="1361"/>
          </w:tcPr>
          <w:p>
            <w:pPr>
              <w:jc w:val="center"/>
            </w:pPr>
            <w:r/>
            <w:r>
              <w:rPr>
                <w:rFonts w:ascii="黑体" w:hAnsi="黑体" w:eastAsia="黑体"/>
                <w:b/>
                <w:sz w:val="19"/>
              </w:rPr>
              <w:t>GM(S)</w:t>
            </w:r>
          </w:p>
        </w:tc>
      </w:tr>
      <w:tr>
        <w:tc>
          <w:tcPr>
            <w:tcW w:type="dxa" w:w="1701"/>
          </w:tcPr>
          <w:p>
            <w:pPr>
              <w:jc w:val="center"/>
            </w:pPr>
            <w:r/>
            <w:r>
              <w:rPr>
                <w:rFonts w:ascii="宋体" w:hAnsi="宋体" w:eastAsia="宋体"/>
                <w:b w:val="0"/>
                <w:sz w:val="19"/>
              </w:rPr>
              <w:t>自适应变异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701"/>
          </w:tcPr>
          <w:p>
            <w:pPr>
              <w:jc w:val="center"/>
            </w:pPr>
            <w:r/>
            <w:r>
              <w:rPr>
                <w:rFonts w:ascii="宋体" w:hAnsi="宋体" w:eastAsia="宋体"/>
                <w:b w:val="0"/>
                <w:sz w:val="19"/>
              </w:rPr>
              <w:t>均匀变异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701"/>
          </w:tcPr>
          <w:p>
            <w:pPr>
              <w:jc w:val="center"/>
            </w:pPr>
            <w:r/>
            <w:r>
              <w:rPr>
                <w:rFonts w:ascii="宋体" w:hAnsi="宋体" w:eastAsia="宋体"/>
                <w:b w:val="0"/>
                <w:sz w:val="19"/>
              </w:rPr>
              <w:t>激进变异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bl>
    <w:p>
      <w:pPr>
        <w:spacing w:after="40"/>
      </w:pPr>
    </w:p>
    <w:p>
      <w:pPr>
        <w:ind w:firstLine="420"/>
      </w:pPr>
      <w:r>
        <w:rPr>
          <w:rFonts w:ascii="宋体" w:hAnsi="宋体" w:eastAsia="宋体"/>
          <w:b w:val="0"/>
          <w:sz w:val="21"/>
        </w:rPr>
        <w:t>实验日志额外记录每次变异实际采用的类型，以便在补充材料中按参数调优、算术与 Mask 优化、结构重写分别统计调用次数、有效率、优化成功率和 GM(G_mut)。这些细分结果用于解释三种总体变异策略的差异，不再占用正文主表。</w:t>
      </w: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 3.1 与 3.2 节实验的推进而累积，模型训练与评估在样本量满足要求后进行。</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模型采用梯度提升树等小样本下稳定的学习器，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留一算子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【待填】</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【待填】</w:t>
            </w:r>
          </w:p>
        </w:tc>
        <w:tc>
          <w:tcPr>
            <w:tcW w:type="dxa" w:w="1247"/>
          </w:tcPr>
          <w:p>
            <w:pPr>
              <w:jc w:val="center"/>
            </w:pPr>
            <w:r/>
            <w:r>
              <w:rPr>
                <w:rFonts w:ascii="宋体" w:hAnsi="宋体" w:eastAsia="宋体"/>
                <w:b w:val="0"/>
                <w:sz w:val="19"/>
              </w:rPr>
              <w:t>【待填】</w:t>
            </w:r>
          </w:p>
        </w:tc>
        <w:tc>
          <w:tcPr>
            <w:tcW w:type="dxa" w:w="1247"/>
          </w:tcPr>
          <w:p>
            <w:pPr>
              <w:jc w:val="center"/>
            </w:pPr>
            <w:r/>
            <w:r>
              <w:rPr>
                <w:rFonts w:ascii="宋体" w:hAnsi="宋体" w:eastAsia="宋体"/>
                <w:b w:val="0"/>
                <w:sz w:val="19"/>
              </w:rPr>
              <w:t>【待填】</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