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 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组别</w:t>
            </w:r>
          </w:p>
        </w:tc>
        <w:tc>
          <w:tcPr>
            <w:tcW w:type="dxa" w:w="1361"/>
          </w:tcPr>
          <w:p>
            <w:r>
              <w:t>Kernel 数</w:t>
            </w:r>
          </w:p>
        </w:tc>
        <w:tc>
          <w:tcPr>
            <w:tcW w:type="dxa" w:w="1361"/>
          </w:tcPr>
          <w:p>
            <w:r>
              <w:t>B1</w:t>
            </w:r>
          </w:p>
        </w:tc>
        <w:tc>
          <w:tcPr>
            <w:tcW w:type="dxa" w:w="1701"/>
          </w:tcPr>
          <w:p>
            <w:r>
              <w:t>B2</w:t>
            </w:r>
          </w:p>
        </w:tc>
        <w:tc>
          <w:tcPr>
            <w:tcW w:type="dxa" w:w="1587"/>
          </w:tcPr>
          <w:p>
            <w:r>
              <w:t>FULL</w:t>
            </w:r>
          </w:p>
        </w:tc>
        <w:tc>
          <w:tcPr>
            <w:tcW w:type="dxa" w:w="1224"/>
          </w:tcPr>
          <w:p>
            <w:r>
              <w:t>FULL 中位数</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after="40"/>
      </w:pPr>
    </w:p>
    <w:p>
      <w:pPr>
        <w:ind w:firstLine="420"/>
      </w:pPr>
      <w:r>
        <w:rPr>
          <w:rFonts w:ascii="宋体" w:hAnsi="宋体" w:eastAsia="宋体"/>
          <w:b w:val="0"/>
          <w:sz w:val="21"/>
        </w:rPr>
        <w:t>表6显示，在统一的 15 个算子上，A6、B3、B4 与 FULL 的有效候选率分别为 92.23%、90.00%、92.27% 和 87.70%，GM(S) 分别为 2.2566、2.2715、1.9697 和 2.1550。普通语义 Top-k 的 B4 在本次实验中最终性能最低，说明仅依赖向量相似度不足以稳定筛选适用的优化知识；混合重排与 Guard 约束使 FULL 的 GM(S) 较 B4 提高约 9.4%。另一方面，A6 和 B3 的单次 GM(S) 高于 FULL，而 FULL 的有效候选率也不是最高，因此当前结果不能支持“每个组件均独立带来单调增益”的结论。更合理的解释是，Profiling、RAG 与进化搜索之间存在交互，候选有效率与最终性能也并非严格正相关；本表主要证明检索策略会显著改变搜索结果，组件独立贡献仍需结合更多随机种子复现实验判断。</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受实验后期设备环境变化影响，三个算子的初始种子在复测阶段无法稳定通过功能与性能验证，因此本节统计按各配置实际完成并复测成功的算子子集给出，各表参与统计的算子数在表后说明中列出。</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1.1911</w:t>
            </w:r>
          </w:p>
        </w:tc>
        <w:tc>
          <w:tcPr>
            <w:tcW w:type="dxa" w:w="2154"/>
          </w:tcPr>
          <w:p>
            <w:pPr>
              <w:jc w:val="center"/>
            </w:pPr>
            <w:r/>
            <w:r>
              <w:rPr>
                <w:rFonts w:ascii="宋体" w:hAnsi="宋体" w:eastAsia="宋体"/>
                <w:b w:val="0"/>
                <w:sz w:val="19"/>
              </w:rPr>
              <w:t>1.8130</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1.0155</w:t>
            </w:r>
          </w:p>
        </w:tc>
        <w:tc>
          <w:tcPr>
            <w:tcW w:type="dxa" w:w="2154"/>
          </w:tcPr>
          <w:p>
            <w:pPr>
              <w:jc w:val="center"/>
            </w:pPr>
            <w:r/>
            <w:r>
              <w:rPr>
                <w:rFonts w:ascii="宋体" w:hAnsi="宋体" w:eastAsia="宋体"/>
                <w:b w:val="0"/>
                <w:sz w:val="19"/>
              </w:rPr>
              <w:t>2.0516</w:t>
            </w:r>
          </w:p>
        </w:tc>
      </w:tr>
    </w:tbl>
    <w:p>
      <w:pPr>
        <w:spacing w:after="40"/>
      </w:pPr>
    </w:p>
    <w:p>
      <w:pPr>
        <w:ind w:firstLine="420"/>
      </w:pPr>
      <w:r>
        <w:rPr>
          <w:rFonts w:ascii="宋体" w:hAnsi="宋体" w:eastAsia="宋体"/>
          <w:b w:val="0"/>
          <w:sz w:val="21"/>
        </w:rPr>
        <w:t>由表7可见，轮盘赌选择的被选父代平均适应度为 1.1911，高于三元锦标赛的 1.0155；但最终 GM(S) 反而更低，轮盘赌为 1.8130，三元锦标赛为 2.0516。这说明较高的即时选择压力并不必然转化为更好的最终算子；过度集中于当前高适应度父代会削弱种群多样性，使搜索更容易停留在局部较优区域。三元锦标赛在保持一定随机性的同时提供了稳定选择压力，更适合本文的搜索预算。</w:t>
      </w: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11.5%</w:t>
            </w:r>
          </w:p>
        </w:tc>
        <w:tc>
          <w:tcPr>
            <w:tcW w:type="dxa" w:w="1474"/>
          </w:tcPr>
          <w:p>
            <w:pPr>
              <w:jc w:val="center"/>
            </w:pPr>
            <w:r/>
            <w:r>
              <w:rPr>
                <w:rFonts w:ascii="宋体" w:hAnsi="宋体" w:eastAsia="宋体"/>
                <w:b w:val="0"/>
                <w:sz w:val="19"/>
              </w:rPr>
              <w:t>0.9476</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100.0%</w:t>
            </w:r>
          </w:p>
        </w:tc>
        <w:tc>
          <w:tcPr>
            <w:tcW w:type="dxa" w:w="2381"/>
          </w:tcPr>
          <w:p>
            <w:pPr>
              <w:jc w:val="center"/>
            </w:pPr>
            <w:r/>
            <w:r>
              <w:rPr>
                <w:rFonts w:ascii="宋体" w:hAnsi="宋体" w:eastAsia="宋体"/>
                <w:b w:val="0"/>
                <w:sz w:val="19"/>
              </w:rPr>
              <w:t>33.3%</w:t>
            </w:r>
          </w:p>
        </w:tc>
        <w:tc>
          <w:tcPr>
            <w:tcW w:type="dxa" w:w="1474"/>
          </w:tcPr>
          <w:p>
            <w:pPr>
              <w:jc w:val="center"/>
            </w:pPr>
            <w:r/>
            <w:r>
              <w:rPr>
                <w:rFonts w:ascii="宋体" w:hAnsi="宋体" w:eastAsia="宋体"/>
                <w:b w:val="0"/>
                <w:sz w:val="19"/>
              </w:rPr>
              <w:t>1.1174</w:t>
            </w:r>
          </w:p>
        </w:tc>
      </w:tr>
    </w:tbl>
    <w:p>
      <w:pPr>
        <w:spacing w:after="40"/>
      </w:pPr>
    </w:p>
    <w:p>
      <w:pPr>
        <w:ind w:firstLine="420"/>
      </w:pPr>
      <w:r>
        <w:rPr>
          <w:rFonts w:ascii="宋体" w:hAnsi="宋体" w:eastAsia="宋体"/>
          <w:b w:val="0"/>
          <w:sz w:val="21"/>
        </w:rPr>
        <w:t>由表8可见，保护交叉的有效子代中优于主干父代的比例为 33.3%，高于无约束交叉的 11.5%；保护交叉的 GM(G_cross) 为 1.1174，也高于无约束交叉的 0.9476，最终 GM(S) 分别为 2.0724 与 1.8357。这表明在多处局部优化同时存在时，无约束地重组多个部分容易破坏父代已成立的 shape、stride、对齐与 Mask 条件；而以性能较优父代为骨架、每次只移植一个相容的局部优化，更能在有限预算内稳定产生有效改进。</w:t>
      </w: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97.5%</w:t>
            </w:r>
          </w:p>
        </w:tc>
        <w:tc>
          <w:tcPr>
            <w:tcW w:type="dxa" w:w="1474"/>
          </w:tcPr>
          <w:p>
            <w:pPr>
              <w:jc w:val="center"/>
            </w:pPr>
            <w:r/>
            <w:r>
              <w:rPr>
                <w:rFonts w:ascii="宋体" w:hAnsi="宋体" w:eastAsia="宋体"/>
                <w:b w:val="0"/>
                <w:sz w:val="19"/>
              </w:rPr>
              <w:t>18.8%</w:t>
            </w:r>
          </w:p>
        </w:tc>
        <w:tc>
          <w:tcPr>
            <w:tcW w:type="dxa" w:w="1474"/>
          </w:tcPr>
          <w:p>
            <w:pPr>
              <w:jc w:val="center"/>
            </w:pPr>
            <w:r/>
            <w:r>
              <w:rPr>
                <w:rFonts w:ascii="宋体" w:hAnsi="宋体" w:eastAsia="宋体"/>
                <w:b w:val="0"/>
                <w:sz w:val="19"/>
              </w:rPr>
              <w:t>1.0543</w:t>
            </w:r>
          </w:p>
        </w:tc>
        <w:tc>
          <w:tcPr>
            <w:tcW w:type="dxa" w:w="1361"/>
          </w:tcPr>
          <w:p>
            <w:pPr>
              <w:jc w:val="center"/>
            </w:pPr>
            <w:r/>
            <w:r>
              <w:rPr>
                <w:rFonts w:ascii="宋体" w:hAnsi="宋体" w:eastAsia="宋体"/>
                <w:b w:val="0"/>
                <w:sz w:val="19"/>
              </w:rPr>
              <w:t>1.9193</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98.7%</w:t>
            </w:r>
          </w:p>
        </w:tc>
        <w:tc>
          <w:tcPr>
            <w:tcW w:type="dxa" w:w="1474"/>
          </w:tcPr>
          <w:p>
            <w:pPr>
              <w:jc w:val="center"/>
            </w:pPr>
            <w:r/>
            <w:r>
              <w:rPr>
                <w:rFonts w:ascii="宋体" w:hAnsi="宋体" w:eastAsia="宋体"/>
                <w:b w:val="0"/>
                <w:sz w:val="19"/>
              </w:rPr>
              <w:t>13.8%</w:t>
            </w:r>
          </w:p>
        </w:tc>
        <w:tc>
          <w:tcPr>
            <w:tcW w:type="dxa" w:w="1474"/>
          </w:tcPr>
          <w:p>
            <w:pPr>
              <w:jc w:val="center"/>
            </w:pPr>
            <w:r/>
            <w:r>
              <w:rPr>
                <w:rFonts w:ascii="宋体" w:hAnsi="宋体" w:eastAsia="宋体"/>
                <w:b w:val="0"/>
                <w:sz w:val="19"/>
              </w:rPr>
              <w:t>0.9306</w:t>
            </w:r>
          </w:p>
        </w:tc>
        <w:tc>
          <w:tcPr>
            <w:tcW w:type="dxa" w:w="1361"/>
          </w:tcPr>
          <w:p>
            <w:pPr>
              <w:jc w:val="center"/>
            </w:pPr>
            <w:r/>
            <w:r>
              <w:rPr>
                <w:rFonts w:ascii="宋体" w:hAnsi="宋体" w:eastAsia="宋体"/>
                <w:b w:val="0"/>
                <w:sz w:val="19"/>
              </w:rPr>
              <w:t>2.1540</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100.0%</w:t>
            </w:r>
          </w:p>
        </w:tc>
        <w:tc>
          <w:tcPr>
            <w:tcW w:type="dxa" w:w="1474"/>
          </w:tcPr>
          <w:p>
            <w:pPr>
              <w:jc w:val="center"/>
            </w:pPr>
            <w:r/>
            <w:r>
              <w:rPr>
                <w:rFonts w:ascii="宋体" w:hAnsi="宋体" w:eastAsia="宋体"/>
                <w:b w:val="0"/>
                <w:sz w:val="19"/>
              </w:rPr>
              <w:t>32.1%</w:t>
            </w:r>
          </w:p>
        </w:tc>
        <w:tc>
          <w:tcPr>
            <w:tcW w:type="dxa" w:w="1474"/>
          </w:tcPr>
          <w:p>
            <w:pPr>
              <w:jc w:val="center"/>
            </w:pPr>
            <w:r/>
            <w:r>
              <w:rPr>
                <w:rFonts w:ascii="宋体" w:hAnsi="宋体" w:eastAsia="宋体"/>
                <w:b w:val="0"/>
                <w:sz w:val="19"/>
              </w:rPr>
              <w:t>1.0348</w:t>
            </w:r>
          </w:p>
        </w:tc>
        <w:tc>
          <w:tcPr>
            <w:tcW w:type="dxa" w:w="1361"/>
          </w:tcPr>
          <w:p>
            <w:pPr>
              <w:jc w:val="center"/>
            </w:pPr>
            <w:r/>
            <w:r>
              <w:rPr>
                <w:rFonts w:ascii="宋体" w:hAnsi="宋体" w:eastAsia="宋体"/>
                <w:b w:val="0"/>
                <w:sz w:val="19"/>
              </w:rPr>
              <w:t>2.0028</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ind w:firstLine="420"/>
      </w:pPr>
      <w:r>
        <w:rPr>
          <w:rFonts w:ascii="宋体" w:hAnsi="宋体" w:eastAsia="宋体"/>
          <w:b w:val="0"/>
          <w:sz w:val="21"/>
        </w:rPr>
        <w:t>由表9可见，三种变异策略的有效变异率均较高，介于 97.5% 与 100.0% 之间，但优化成功率差异明显：激进变异为 32.1%，自适应变异为 18.8%，均匀变异为 13.8%。这说明在本文的短预算搜索中，变异策略的主要区别不在于能否生成可运行代码，而在于能否把有限的评测次数集中到更可能带来改进的方向上。最终 GM(S) 方面，均匀变异为 2.1540，激进变异为 2.0028，自适应变异为 1.9193；该排序与优化成功率并不完全一致。考虑到每种策略仅执行一轮搜索，本文将其解释为单次采样下的观测差异，尚不足以支持严格的优劣排序。</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 3.1 与 3.2 节实验的推进而累积，模型训练与评估在样本量满足要求后进行。</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模型采用梯度提升树等小样本下稳定的学习器，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留一算子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