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表9 变异策略消融实验结果（3.4.3）</w:t>
      </w:r>
    </w:p>
    <w:p>
      <w:r>
        <w:rPr>
          <w:sz w:val="18"/>
        </w:rPr>
        <w:t>实验设置：比较三种变异强度策略。自适应变异根据当前代数与个体适应度动态调整改动幅度；均匀变异采用固定强度的局部改写；激进变异则对算子实现做较彻底的重构。成功率指变异后适应度优于变异前的个体占有效变异个体的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配置</w:t>
            </w:r>
          </w:p>
        </w:tc>
        <w:tc>
          <w:tcPr>
            <w:tcW w:type="dxa" w:w="960"/>
          </w:tcPr>
          <w:p>
            <w:r>
              <w:t>变异策略</w:t>
            </w:r>
          </w:p>
        </w:tc>
        <w:tc>
          <w:tcPr>
            <w:tcW w:type="dxa" w:w="960"/>
          </w:tcPr>
          <w:p>
            <w:r>
              <w:t>变异次数</w:t>
            </w:r>
          </w:p>
        </w:tc>
        <w:tc>
          <w:tcPr>
            <w:tcW w:type="dxa" w:w="960"/>
          </w:tcPr>
          <w:p>
            <w:r>
              <w:t>有效个体</w:t>
            </w:r>
          </w:p>
        </w:tc>
        <w:tc>
          <w:tcPr>
            <w:tcW w:type="dxa" w:w="960"/>
          </w:tcPr>
          <w:p>
            <w:r>
              <w:t>有效率</w:t>
            </w:r>
          </w:p>
        </w:tc>
        <w:tc>
          <w:tcPr>
            <w:tcW w:type="dxa" w:w="960"/>
          </w:tcPr>
          <w:p>
            <w:r>
              <w:t>改进个体数</w:t>
            </w:r>
          </w:p>
        </w:tc>
        <w:tc>
          <w:tcPr>
            <w:tcW w:type="dxa" w:w="960"/>
          </w:tcPr>
          <w:p>
            <w:r>
              <w:t>成功率</w:t>
            </w:r>
          </w:p>
        </w:tc>
        <w:tc>
          <w:tcPr>
            <w:tcW w:type="dxa" w:w="960"/>
          </w:tcPr>
          <w:p>
            <w:r>
              <w:t>GM(增益)</w:t>
            </w:r>
          </w:p>
        </w:tc>
        <w:tc>
          <w:tcPr>
            <w:tcW w:type="dxa" w:w="960"/>
          </w:tcPr>
          <w:p>
            <w:r>
              <w:t>GM(S)</w:t>
            </w:r>
          </w:p>
        </w:tc>
      </w:tr>
      <w:tr>
        <w:tc>
          <w:tcPr>
            <w:tcW w:type="dxa" w:w="960"/>
          </w:tcPr>
          <w:p>
            <w:r>
              <w:t>mut_adaptive</w:t>
            </w:r>
          </w:p>
        </w:tc>
        <w:tc>
          <w:tcPr>
            <w:tcW w:type="dxa" w:w="960"/>
          </w:tcPr>
          <w:p>
            <w:r>
              <w:t>自适应变异（按代数/适应度调幅）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97.47%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18.75%</w:t>
            </w:r>
          </w:p>
        </w:tc>
        <w:tc>
          <w:tcPr>
            <w:tcW w:type="dxa" w:w="960"/>
          </w:tcPr>
          <w:p>
            <w:r>
              <w:t>1.0543</w:t>
            </w:r>
          </w:p>
        </w:tc>
        <w:tc>
          <w:tcPr>
            <w:tcW w:type="dxa" w:w="960"/>
          </w:tcPr>
          <w:p>
            <w:r>
              <w:t>1.9193</w:t>
            </w:r>
          </w:p>
        </w:tc>
      </w:tr>
      <w:tr>
        <w:tc>
          <w:tcPr>
            <w:tcW w:type="dxa" w:w="960"/>
          </w:tcPr>
          <w:p>
            <w:r>
              <w:t>mut_uniform</w:t>
            </w:r>
          </w:p>
        </w:tc>
        <w:tc>
          <w:tcPr>
            <w:tcW w:type="dxa" w:w="960"/>
          </w:tcPr>
          <w:p>
            <w:r>
              <w:t>均匀变异（固定幅度局部改写）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98.72%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13.79%</w:t>
            </w:r>
          </w:p>
        </w:tc>
        <w:tc>
          <w:tcPr>
            <w:tcW w:type="dxa" w:w="960"/>
          </w:tcPr>
          <w:p>
            <w:r>
              <w:t>0.9306</w:t>
            </w:r>
          </w:p>
        </w:tc>
        <w:tc>
          <w:tcPr>
            <w:tcW w:type="dxa" w:w="960"/>
          </w:tcPr>
          <w:p>
            <w:r>
              <w:t>2.1540</w:t>
            </w:r>
          </w:p>
        </w:tc>
      </w:tr>
      <w:tr>
        <w:tc>
          <w:tcPr>
            <w:tcW w:type="dxa" w:w="960"/>
          </w:tcPr>
          <w:p>
            <w:r>
              <w:t>mut_aggressive</w:t>
            </w:r>
          </w:p>
        </w:tc>
        <w:tc>
          <w:tcPr>
            <w:tcW w:type="dxa" w:w="960"/>
          </w:tcPr>
          <w:p>
            <w:r>
              <w:t>激进变异（大幅重构）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32.14%</w:t>
            </w:r>
          </w:p>
        </w:tc>
        <w:tc>
          <w:tcPr>
            <w:tcW w:type="dxa" w:w="960"/>
          </w:tcPr>
          <w:p>
            <w:r>
              <w:t>1.0348</w:t>
            </w:r>
          </w:p>
        </w:tc>
        <w:tc>
          <w:tcPr>
            <w:tcW w:type="dxa" w:w="960"/>
          </w:tcPr>
          <w:p>
            <w:r>
              <w:t>2.0028</w:t>
            </w:r>
          </w:p>
        </w:tc>
      </w:tr>
    </w:tbl>
    <w:p/>
    <w:p>
      <w:r>
        <w:rPr>
          <w:sz w:val="18"/>
        </w:rPr>
        <w:t>注：有效率 = 有效变异个体 / 变异次数；成功率 = 适应度优于变异前的个体 / 有效变异个体；GM(增益) 为变异操作带来适应度提升的几何平均。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