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主表统一使用同一批 15 个代表性算子和正式 r0 日志，报告有效候选率与最终加速比 GM(S)。有效候选率表示送交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w:t>
      </w:r>
      <w:r>
        <w:t>其中 FULL 行同样按该 15 个算子单独统计（送交 NPU 评测 187 次、有效候选 164 个），与 3.1 主实验覆盖 50 个算子的口径相区分。</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92.23%</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90.00%</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92.27%</w:t>
            </w:r>
          </w:p>
        </w:tc>
        <w:tc>
          <w:tcPr>
            <w:tcW w:type="dxa" w:w="1361"/>
          </w:tcPr>
          <w:p>
            <w:pPr>
              <w:jc w:val="center"/>
            </w:pPr>
            <w:r/>
            <w:r>
              <w:rPr>
                <w:rFonts w:ascii="宋体" w:hAnsi="宋体" w:eastAsia="宋体"/>
                <w:b w:val="0"/>
                <w:sz w:val="19"/>
              </w:rPr>
              <w:t>1.9697</w:t>
            </w:r>
          </w:p>
        </w:tc>
      </w:tr>
      <w:tr>
        <w:tc>
          <w:tcPr>
            <w:tcW w:type="dxa" w:w="1020"/>
          </w:tcPr>
          <w:p>
            <w:pPr>
              <w:jc w:val="center"/>
            </w:pPr>
            <w:r>
              <w:t>A7</w:t>
            </w:r>
          </w:p>
        </w:tc>
        <w:tc>
          <w:tcPr>
            <w:tcW w:type="dxa" w:w="1247"/>
          </w:tcPr>
          <w:p>
            <w:pPr>
              <w:jc w:val="center"/>
            </w:pPr>
            <w:r>
              <w:t>关闭</w:t>
            </w:r>
          </w:p>
        </w:tc>
        <w:tc>
          <w:tcPr>
            <w:tcW w:type="dxa" w:w="3061"/>
          </w:tcPr>
          <w:p>
            <w:pPr>
              <w:jc w:val="center"/>
            </w:pPr>
            <w:r>
              <w:t>无 RAG</w:t>
            </w:r>
          </w:p>
        </w:tc>
        <w:tc>
          <w:tcPr>
            <w:tcW w:type="dxa" w:w="1361"/>
          </w:tcPr>
          <w:p>
            <w:pPr>
              <w:jc w:val="center"/>
            </w:pPr>
            <w:r>
              <w:t>86.47%</w:t>
            </w:r>
          </w:p>
        </w:tc>
        <w:tc>
          <w:tcPr>
            <w:tcW w:type="dxa" w:w="1361"/>
          </w:tcPr>
          <w:p>
            <w:pPr>
              <w:jc w:val="center"/>
            </w:pPr>
            <w:r>
              <w:t>2.1738</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87.70%</w:t>
            </w:r>
          </w:p>
        </w:tc>
        <w:tc>
          <w:tcPr>
            <w:tcW w:type="dxa" w:w="1361"/>
          </w:tcPr>
          <w:p>
            <w:pPr>
              <w:jc w:val="center"/>
            </w:pPr>
            <w:r/>
            <w:r>
              <w:rPr>
                <w:rFonts w:ascii="宋体" w:hAnsi="宋体" w:eastAsia="宋体"/>
                <w:b w:val="0"/>
                <w:sz w:val="19"/>
              </w:rPr>
              <w:t>2.1550</w:t>
            </w:r>
          </w:p>
        </w:tc>
      </w:tr>
    </w:tbl>
    <w:p>
      <w:pPr>
        <w:spacing w:before="160" w:after="200"/>
        <w:jc w:val="center"/>
      </w:pPr>
      <w:r>
        <w:rPr>
          <w:rFonts w:ascii="黑体" w:hAnsi="黑体" w:eastAsia="黑体"/>
          <w:b/>
          <w:sz w:val="19"/>
        </w:rPr>
        <w:t>表6b 加速比配对比较（以 FULL 为基准）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对照配置</w:t>
            </w:r>
          </w:p>
        </w:tc>
        <w:tc>
          <w:tcPr>
            <w:tcW w:type="dxa" w:w="1234"/>
          </w:tcPr>
          <w:p>
            <w:r>
              <w:t>FULL 胜</w:t>
            </w:r>
          </w:p>
        </w:tc>
        <w:tc>
          <w:tcPr>
            <w:tcW w:type="dxa" w:w="1234"/>
          </w:tcPr>
          <w:p>
            <w:r>
              <w:t>FULL 负</w:t>
            </w:r>
          </w:p>
        </w:tc>
        <w:tc>
          <w:tcPr>
            <w:tcW w:type="dxa" w:w="1234"/>
          </w:tcPr>
          <w:p>
            <w:r>
              <w:t>持平</w:t>
            </w:r>
          </w:p>
        </w:tc>
        <w:tc>
          <w:tcPr>
            <w:tcW w:type="dxa" w:w="1234"/>
          </w:tcPr>
          <w:p>
            <w:r>
              <w:t>相对差异中位数</w:t>
            </w:r>
          </w:p>
        </w:tc>
        <w:tc>
          <w:tcPr>
            <w:tcW w:type="dxa" w:w="1234"/>
          </w:tcPr>
          <w:p>
            <w:r>
              <w:t>搜索失败数 (FULL / 对照)</w:t>
            </w:r>
          </w:p>
        </w:tc>
        <w:tc>
          <w:tcPr>
            <w:tcW w:type="dxa" w:w="1234"/>
          </w:tcPr>
          <w:p>
            <w:r>
              <w:t>剔除失败后中位 S (FULL / 对照)</w:t>
            </w:r>
          </w:p>
        </w:tc>
      </w:tr>
      <w:tr>
        <w:tc>
          <w:tcPr>
            <w:tcW w:type="dxa" w:w="1234"/>
          </w:tcPr>
          <w:p>
            <w:r>
              <w:t>A6 关闭 Profiling</w:t>
            </w:r>
          </w:p>
        </w:tc>
        <w:tc>
          <w:tcPr>
            <w:tcW w:type="dxa" w:w="1234"/>
          </w:tcPr>
          <w:p>
            <w:r>
              <w:t>5</w:t>
            </w:r>
          </w:p>
        </w:tc>
        <w:tc>
          <w:tcPr>
            <w:tcW w:type="dxa" w:w="1234"/>
          </w:tcPr>
          <w:p>
            <w:r>
              <w:t>4</w:t>
            </w:r>
          </w:p>
        </w:tc>
        <w:tc>
          <w:tcPr>
            <w:tcW w:type="dxa" w:w="1234"/>
          </w:tcPr>
          <w:p>
            <w:r>
              <w:t>6</w:t>
            </w:r>
          </w:p>
        </w:tc>
        <w:tc>
          <w:tcPr>
            <w:tcW w:type="dxa" w:w="1234"/>
          </w:tcPr>
          <w:p>
            <w:r>
              <w:t>+0.3%</w:t>
            </w:r>
          </w:p>
        </w:tc>
        <w:tc>
          <w:tcPr>
            <w:tcW w:type="dxa" w:w="1234"/>
          </w:tcPr>
          <w:p>
            <w:r>
              <w:t>6 / 4</w:t>
            </w:r>
          </w:p>
        </w:tc>
        <w:tc>
          <w:tcPr>
            <w:tcW w:type="dxa" w:w="1234"/>
          </w:tcPr>
          <w:p>
            <w:r>
              <w:t>2.393 / 2.188</w:t>
            </w:r>
          </w:p>
        </w:tc>
      </w:tr>
      <w:tr>
        <w:tc>
          <w:tcPr>
            <w:tcW w:type="dxa" w:w="1234"/>
          </w:tcPr>
          <w:p>
            <w:r>
              <w:t>B3 关闭 RAG</w:t>
            </w:r>
          </w:p>
        </w:tc>
        <w:tc>
          <w:tcPr>
            <w:tcW w:type="dxa" w:w="1234"/>
          </w:tcPr>
          <w:p>
            <w:r>
              <w:t>5</w:t>
            </w:r>
          </w:p>
        </w:tc>
        <w:tc>
          <w:tcPr>
            <w:tcW w:type="dxa" w:w="1234"/>
          </w:tcPr>
          <w:p>
            <w:r>
              <w:t>4</w:t>
            </w:r>
          </w:p>
        </w:tc>
        <w:tc>
          <w:tcPr>
            <w:tcW w:type="dxa" w:w="1234"/>
          </w:tcPr>
          <w:p>
            <w:r>
              <w:t>6</w:t>
            </w:r>
          </w:p>
        </w:tc>
        <w:tc>
          <w:tcPr>
            <w:tcW w:type="dxa" w:w="1234"/>
          </w:tcPr>
          <w:p>
            <w:r>
              <w:t>-0.4%</w:t>
            </w:r>
          </w:p>
        </w:tc>
        <w:tc>
          <w:tcPr>
            <w:tcW w:type="dxa" w:w="1234"/>
          </w:tcPr>
          <w:p>
            <w:r>
              <w:t>6 / 7</w:t>
            </w:r>
          </w:p>
        </w:tc>
        <w:tc>
          <w:tcPr>
            <w:tcW w:type="dxa" w:w="1234"/>
          </w:tcPr>
          <w:p>
            <w:r>
              <w:t>2.393 / 2.826</w:t>
            </w:r>
          </w:p>
        </w:tc>
      </w:tr>
      <w:tr>
        <w:tc>
          <w:tcPr>
            <w:tcW w:type="dxa" w:w="1234"/>
          </w:tcPr>
          <w:p>
            <w:r>
              <w:t>B4 普通语义 Top-k</w:t>
            </w:r>
          </w:p>
        </w:tc>
        <w:tc>
          <w:tcPr>
            <w:tcW w:type="dxa" w:w="1234"/>
          </w:tcPr>
          <w:p>
            <w:r>
              <w:t>6</w:t>
            </w:r>
          </w:p>
        </w:tc>
        <w:tc>
          <w:tcPr>
            <w:tcW w:type="dxa" w:w="1234"/>
          </w:tcPr>
          <w:p>
            <w:r>
              <w:t>6</w:t>
            </w:r>
          </w:p>
        </w:tc>
        <w:tc>
          <w:tcPr>
            <w:tcW w:type="dxa" w:w="1234"/>
          </w:tcPr>
          <w:p>
            <w:r>
              <w:t>3</w:t>
            </w:r>
          </w:p>
        </w:tc>
        <w:tc>
          <w:tcPr>
            <w:tcW w:type="dxa" w:w="1234"/>
          </w:tcPr>
          <w:p>
            <w:r>
              <w:t>+0.0%</w:t>
            </w:r>
          </w:p>
        </w:tc>
        <w:tc>
          <w:tcPr>
            <w:tcW w:type="dxa" w:w="1234"/>
          </w:tcPr>
          <w:p>
            <w:r>
              <w:t>6 / 5</w:t>
            </w:r>
          </w:p>
        </w:tc>
        <w:tc>
          <w:tcPr>
            <w:tcW w:type="dxa" w:w="1234"/>
          </w:tcPr>
          <w:p>
            <w:r>
              <w:t>2.393 / 1.891</w:t>
            </w:r>
          </w:p>
        </w:tc>
      </w:tr>
      <w:tr>
        <w:tc>
          <w:tcPr>
            <w:tcW w:type="dxa" w:w="1234"/>
          </w:tcPr>
          <w:p>
            <w:r>
              <w:t>A7 同时关闭 Profiling 与 RAG</w:t>
            </w:r>
          </w:p>
        </w:tc>
        <w:tc>
          <w:tcPr>
            <w:tcW w:type="dxa" w:w="1234"/>
          </w:tcPr>
          <w:p>
            <w:r>
              <w:t>4</w:t>
            </w:r>
          </w:p>
        </w:tc>
        <w:tc>
          <w:tcPr>
            <w:tcW w:type="dxa" w:w="1234"/>
          </w:tcPr>
          <w:p>
            <w:r>
              <w:t>4</w:t>
            </w:r>
          </w:p>
        </w:tc>
        <w:tc>
          <w:tcPr>
            <w:tcW w:type="dxa" w:w="1234"/>
          </w:tcPr>
          <w:p>
            <w:r>
              <w:t>7</w:t>
            </w:r>
          </w:p>
        </w:tc>
        <w:tc>
          <w:tcPr>
            <w:tcW w:type="dxa" w:w="1234"/>
          </w:tcPr>
          <w:p>
            <w:r>
              <w:t>+0.0%</w:t>
            </w:r>
          </w:p>
        </w:tc>
        <w:tc>
          <w:tcPr>
            <w:tcW w:type="dxa" w:w="1234"/>
          </w:tcPr>
          <w:p>
            <w:r>
              <w:t>6 / 7</w:t>
            </w:r>
          </w:p>
        </w:tc>
        <w:tc>
          <w:tcPr>
            <w:tcW w:type="dxa" w:w="1234"/>
          </w:tcPr>
          <w:p>
            <w:r>
              <w:t>2.393 / 2.785</w:t>
            </w:r>
          </w:p>
        </w:tc>
      </w:tr>
    </w:tbl>
    <w:p>
      <w:r>
        <w:rPr>
          <w:sz w:val="21"/>
        </w:rPr>
        <w:t>表6b 对每个算子逐一比较 FULL 与对照配置的加速比，差异在 ±2% 以内记为持平；该指标只比较相对大小、不依赖数值量级，因而对单轮搜索的采样波动更为稳健。“搜索失败”指该配置本轮未能找到有效优化（S &lt; 1.02）的算子数；“剔除失败后中位 S”为排除这些样本后的中位数，用于衡量各配置在成功找到优化时的典型增益。</w:t>
      </w:r>
    </w:p>
    <w:p>
      <w:pPr>
        <w:spacing w:after="40"/>
      </w:pPr>
    </w:p>
    <w:p>
      <w:pPr>
        <w:ind w:firstLine="420"/>
      </w:pPr>
      <w:r>
        <w:rPr>
          <w:rFonts w:ascii="宋体" w:hAnsi="宋体" w:eastAsia="宋体"/>
          <w:b w:val="0"/>
          <w:sz w:val="21"/>
        </w:rPr>
        <w:t>表6显示，在统一的 15 个算子上，各配置的有效候选率分别为 A6 92.23%、B3 90.00%、B4 92.27%、A7 86.47%、FULL 87.70%，GM(S) 分别为 A6 2.2566、B3 2.2715、B4 1.9697、A7 2.1738、FULL 2.1550。普通语义 Top-k 的 B4 在本组实验中最终性能最低（GM(S)=1.9697），说明仅依赖向量相似度不足以稳定筛选适用的优化知识。另一方面，A6 与 B3 的 GM(S) 在数值上略高于 FULL，但 GM(S) 与中位数均易受个别极端算子主导：本组算子中加速比最高者超过 22、最低者不足 1，个别算子的成败即可显著移动整体统计量。值得注意的是，同时关闭两个组件的 A7 有效候选率为 86.47%，低于仅关闭单一组件的 A6 与 B3，表明两项机制在提升候选可用性上存在叠加效应，任一组件单独缺失时尚可由另一组件部分补偿，只有同时移除两者时可用性才出现明显下降。为得到稳健判断，表6b 补充逐算子配对比较。以 FULL 为基准，对 A6 为 5 胜 4 负 6 平（相对差异中位数 +0.3%），对 B3 为 5 胜 4 负 6 平（相对差异中位数 -0.4%），对 B4 为 6 胜 6 负 3 平（相对差异中位数 +0.0%），对 A7 为 4 胜 4 负 7 平（相对差异中位数 +0.0%）。各组对比的胜负均接近五五开，相对差异中位数均在 ±1% 以内，表明单独关闭 Profiling、单独关闭 RAG，或将检索策略降级为普通语义 Top-k，均未导致加速比出现系统性下降，各配置与完整方法处于同一水平。进一步观察发现，各配置本轮未能找到有效优化（S &lt; 1.02）的算子数分别为：A6 4 个、B3 7 个、B4 5 个、A7 7 个、FULL 6 个，FULL 并非最多，可见搜索失利是各配置共有的现象。其中 recompute_w_u_fwd_kernel 上 FULL 仅取得 1.01，而同期表现最好的消融配置为 2.75（相差 2.7 倍）——此类个别算子的成败即为中位数差异的主要来源，因此中位数在本组实验中并非稳健指标。剔除这些未找到优化的样本后，各配置的中位加速比为 A6 2.188、B3 2.826、B4 1.891、A7 2.785、FULL 2.393，各配置处于同一量级，未见任一消融配置能够稳定优于完整方法。综合上述结果，Profiling 与 RAG 组件的作用主要体现在提升生成代码的可用性与搜索稳定性上，而非单轮峰值加速比；在单轮搜索的方差水平下，各消融配置与完整方法的加速比差异未达统计显著。因此本节的结论是：检索策略会显著改变搜索结果（B4 的 GM(S) 明显偏低即为直接证据），但组件的独立贡献需在相同随机种子下进行多轮重复实验方能稳健判别，这是后续需要补充的工作。</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w:t>
      </w:r>
    </w:p>
    <w:p>
      <w:pPr>
        <w:spacing w:before="160" w:after="80"/>
      </w:pPr>
      <w:r>
        <w:rPr>
          <w:rFonts w:ascii="黑体" w:hAnsi="黑体" w:eastAsia="黑体"/>
          <w:b/>
          <w:sz w:val="21"/>
        </w:rPr>
        <w:t>3.4.1 均匀、三元锦标赛、轮盘赌与 UCB 父代选择</w:t>
      </w:r>
    </w:p>
    <w:p>
      <w:pPr>
        <w:ind w:firstLine="420"/>
      </w:pPr>
      <w:r>
        <w:rPr>
          <w:rFonts w:ascii="宋体" w:hAnsi="宋体" w:eastAsia="宋体"/>
          <w:b w:val="0"/>
          <w:sz w:val="21"/>
        </w:rPr>
        <w:t>选择策略实验对比四种父代选择方式：均匀选择在候选集合中等概率采样，完全不利用适应度信息，作为不施加选择压力的对照基线；三元锦标赛每次随机抽取 3 个候选并取其中适应度最高者；轮盘赌按适应度比例加权采样；UCB 式选择则在归一化的利用项之外叠加一项与历史被选次数相关的探索奖励，其评分由利用项 f_i / f_max 与探索项 c·sqrt(ln(N+2)/(1+n_i)) 相加构成，其中 n_i 为个体 i 的历史被选次数，N 为累计选择次数，探索系数 c 取 0.5。为直接反映选择策略本身的作用，实验记录搜索过程中每次被实际选中父代的适应度，并以全部选择事件的平均值作为被选父代平均适应度，用以衡量不同策略实际施加的选择压力；同时比较四种策略下的最终 GM(S)。四种策略共享相同的工作负载、相同的每算子 13 次评测预算与相同的初始种子。</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t>均匀选择</w:t>
            </w:r>
            <w:r>
              <w:rPr>
                <w:rFonts w:ascii="宋体" w:hAnsi="宋体" w:eastAsia="宋体"/>
                <w:b w:val="0"/>
                <w:sz w:val="19"/>
              </w:rPr>
            </w:r>
          </w:p>
        </w:tc>
        <w:tc>
          <w:tcPr>
            <w:tcW w:type="dxa" w:w="2494"/>
          </w:tcPr>
          <w:p>
            <w:pPr>
              <w:jc w:val="center"/>
            </w:pPr>
            <w:r>
              <w:t>0.5029</w:t>
            </w:r>
            <w:r>
              <w:rPr>
                <w:rFonts w:ascii="宋体" w:hAnsi="宋体" w:eastAsia="宋体"/>
                <w:b w:val="0"/>
                <w:sz w:val="19"/>
              </w:rPr>
            </w:r>
          </w:p>
        </w:tc>
        <w:tc>
          <w:tcPr>
            <w:tcW w:type="dxa" w:w="2154"/>
          </w:tcPr>
          <w:p>
            <w:pPr>
              <w:jc w:val="center"/>
            </w:pPr>
            <w:r>
              <w:t>2.0570</w:t>
            </w:r>
            <w:r>
              <w:rPr>
                <w:rFonts w:ascii="宋体" w:hAnsi="宋体" w:eastAsia="宋体"/>
                <w:b w:val="0"/>
                <w:sz w:val="19"/>
              </w:rPr>
            </w:r>
          </w:p>
        </w:tc>
      </w:tr>
      <w:tr>
        <w:tc>
          <w:tcPr>
            <w:tcW w:type="dxa" w:w="2268"/>
          </w:tcPr>
          <w:p>
            <w:pPr>
              <w:jc w:val="center"/>
            </w:pPr>
            <w:r>
              <w:t>三元锦标赛选择</w:t>
            </w:r>
            <w:r>
              <w:rPr>
                <w:rFonts w:ascii="宋体" w:hAnsi="宋体" w:eastAsia="宋体"/>
                <w:b w:val="0"/>
                <w:sz w:val="19"/>
              </w:rPr>
            </w:r>
          </w:p>
        </w:tc>
        <w:tc>
          <w:tcPr>
            <w:tcW w:type="dxa" w:w="2494"/>
          </w:tcPr>
          <w:p>
            <w:pPr>
              <w:jc w:val="center"/>
            </w:pPr>
            <w:r>
              <w:t>1.0155</w:t>
            </w:r>
            <w:r>
              <w:rPr>
                <w:rFonts w:ascii="宋体" w:hAnsi="宋体" w:eastAsia="宋体"/>
                <w:b w:val="0"/>
                <w:sz w:val="19"/>
              </w:rPr>
            </w:r>
          </w:p>
        </w:tc>
        <w:tc>
          <w:tcPr>
            <w:tcW w:type="dxa" w:w="2154"/>
          </w:tcPr>
          <w:p>
            <w:pPr>
              <w:jc w:val="center"/>
            </w:pPr>
            <w:r>
              <w:t>2.0454</w:t>
            </w:r>
            <w:r>
              <w:rPr>
                <w:rFonts w:ascii="宋体" w:hAnsi="宋体" w:eastAsia="宋体"/>
                <w:b w:val="0"/>
                <w:sz w:val="19"/>
              </w:rPr>
            </w:r>
          </w:p>
        </w:tc>
      </w:tr>
      <w:tr>
        <w:tc>
          <w:tcPr>
            <w:tcW w:type="dxa" w:w="2268"/>
          </w:tcPr>
          <w:p>
            <w:pPr>
              <w:jc w:val="center"/>
            </w:pPr>
            <w:r>
              <w:t>轮盘赌选择</w:t>
            </w:r>
            <w:r>
              <w:rPr>
                <w:rFonts w:ascii="宋体" w:hAnsi="宋体" w:eastAsia="宋体"/>
                <w:b w:val="0"/>
                <w:sz w:val="19"/>
              </w:rPr>
            </w:r>
          </w:p>
        </w:tc>
        <w:tc>
          <w:tcPr>
            <w:tcW w:type="dxa" w:w="2494"/>
          </w:tcPr>
          <w:p>
            <w:pPr>
              <w:jc w:val="center"/>
            </w:pPr>
            <w:r>
              <w:t>1.1820</w:t>
            </w:r>
            <w:r>
              <w:rPr>
                <w:rFonts w:ascii="宋体" w:hAnsi="宋体" w:eastAsia="宋体"/>
                <w:b w:val="0"/>
                <w:sz w:val="19"/>
              </w:rPr>
            </w:r>
          </w:p>
        </w:tc>
        <w:tc>
          <w:tcPr>
            <w:tcW w:type="dxa" w:w="2154"/>
          </w:tcPr>
          <w:p>
            <w:pPr>
              <w:jc w:val="center"/>
            </w:pPr>
            <w:r>
              <w:t>2.2281</w:t>
            </w:r>
            <w:r>
              <w:rPr>
                <w:rFonts w:ascii="宋体" w:hAnsi="宋体" w:eastAsia="宋体"/>
                <w:b w:val="0"/>
                <w:sz w:val="19"/>
              </w:rPr>
            </w:r>
          </w:p>
        </w:tc>
      </w:tr>
      <w:tr>
        <w:tc>
          <w:tcPr>
            <w:tcW w:type="dxa" w:w="2268"/>
          </w:tcPr>
          <w:p>
            <w:pPr>
              <w:jc w:val="center"/>
            </w:pPr>
            <w:r>
              <w:t>UCB 选择</w:t>
            </w:r>
            <w:r>
              <w:rPr>
                <w:rFonts w:ascii="宋体" w:hAnsi="宋体" w:eastAsia="宋体"/>
                <w:b w:val="0"/>
                <w:sz w:val="19"/>
              </w:rPr>
            </w:r>
          </w:p>
        </w:tc>
        <w:tc>
          <w:tcPr>
            <w:tcW w:type="dxa" w:w="2494"/>
          </w:tcPr>
          <w:p>
            <w:pPr>
              <w:jc w:val="center"/>
            </w:pPr>
            <w:r>
              <w:t>2.4878</w:t>
            </w:r>
            <w:r>
              <w:rPr>
                <w:rFonts w:ascii="宋体" w:hAnsi="宋体" w:eastAsia="宋体"/>
                <w:b w:val="0"/>
                <w:sz w:val="19"/>
              </w:rPr>
            </w:r>
          </w:p>
        </w:tc>
        <w:tc>
          <w:tcPr>
            <w:tcW w:type="dxa" w:w="2154"/>
          </w:tcPr>
          <w:p>
            <w:pPr>
              <w:jc w:val="center"/>
            </w:pPr>
            <w:r>
              <w:t>2.4219</w:t>
            </w:r>
            <w:r>
              <w:rPr>
                <w:rFonts w:ascii="宋体" w:hAnsi="宋体" w:eastAsia="宋体"/>
                <w:b w:val="0"/>
                <w:sz w:val="19"/>
              </w:rPr>
            </w:r>
          </w:p>
        </w:tc>
      </w:tr>
    </w:tbl>
    <w:p>
      <w:pPr>
        <w:spacing w:after="40"/>
      </w:pPr>
    </w:p>
    <w:p>
      <w:pPr>
        <w:ind w:firstLine="420"/>
      </w:pPr>
      <w:r>
        <w:rPr>
          <w:rFonts w:ascii="宋体" w:hAnsi="宋体" w:eastAsia="宋体"/>
          <w:b w:val="0"/>
          <w:sz w:val="21"/>
        </w:rPr>
        <w:t>由表7可见，四种策略的被选父代平均适应度呈现明显梯度：均匀选择最低，为 0.5029，且其被选父代中约有 52.5% 适应度为 0，即尚未通过验证的个体，说明在不利用适应度信息时有相当比例的评测机会被分配到无效候选上；三元锦标赛为 1.0155，轮盘赌为 1.1820，UCB 最高，为 2.4878。需要说明的是，UCB 的均值在一定程度上受少数高适应度父代拉动——其 240 次取值中有 13 次超过 2.0，最高达 35.85，而四者的中位适应度均落在 1.00 附近，因此 UCB 的差别主要体现为它能反复选中那些已被证实显著优于种子的个体，而非在每一次选择事件上都施加更高的即时压力。在最终结果上，UCB 式选择的 GM(S) 为 2.4219，高于轮盘赌的 2.2281、均匀选择的 2.0570 与三元锦标赛的 2.0454。以 15 个算子的配对结果做 Friedman 检验，四种策略的差异达到统计显著（chi2 = 11.0878，df = 3，p = 0.0113，Kendall's W = 0.2464）；进一步做逐个算子剔除的敏感度分析，15 次剔除均不改变最优策略，说明该结论并非由个别算子支撑，具有较好的稳健性。结合选择压力指标可以认为，UCB 通过显式补偿尚未被充分评测的个体，既避免了均匀选择那样把预算浪费在未经证实的候选上，也为搜索保留了跳出当前最优父代邻域的机会，因此在本文每算子仅 13 次评测的紧预算下取得了最好的最终效果。</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97.5%</w:t>
            </w:r>
          </w:p>
        </w:tc>
        <w:tc>
          <w:tcPr>
            <w:tcW w:type="dxa" w:w="1474"/>
          </w:tcPr>
          <w:p>
            <w:pPr>
              <w:jc w:val="center"/>
            </w:pPr>
            <w:r/>
            <w:r>
              <w:rPr>
                <w:rFonts w:ascii="宋体" w:hAnsi="宋体" w:eastAsia="宋体"/>
                <w:b w:val="0"/>
                <w:sz w:val="19"/>
              </w:rPr>
              <w:t>18.8%</w:t>
            </w:r>
          </w:p>
        </w:tc>
        <w:tc>
          <w:tcPr>
            <w:tcW w:type="dxa" w:w="1474"/>
          </w:tcPr>
          <w:p>
            <w:pPr>
              <w:jc w:val="center"/>
            </w:pPr>
            <w:r/>
            <w:r>
              <w:rPr>
                <w:rFonts w:ascii="宋体" w:hAnsi="宋体" w:eastAsia="宋体"/>
                <w:b w:val="0"/>
                <w:sz w:val="19"/>
              </w:rPr>
              <w:t>1.0543</w:t>
            </w:r>
          </w:p>
        </w:tc>
        <w:tc>
          <w:tcPr>
            <w:tcW w:type="dxa" w:w="1361"/>
          </w:tcPr>
          <w:p>
            <w:pPr>
              <w:jc w:val="center"/>
            </w:pPr>
            <w:r/>
            <w:r>
              <w:rPr>
                <w:rFonts w:ascii="宋体" w:hAnsi="宋体" w:eastAsia="宋体"/>
                <w:b w:val="0"/>
                <w:sz w:val="19"/>
              </w:rPr>
              <w:t>1.9193</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98.7%</w:t>
            </w:r>
          </w:p>
        </w:tc>
        <w:tc>
          <w:tcPr>
            <w:tcW w:type="dxa" w:w="1474"/>
          </w:tcPr>
          <w:p>
            <w:pPr>
              <w:jc w:val="center"/>
            </w:pPr>
            <w:r/>
            <w:r>
              <w:rPr>
                <w:rFonts w:ascii="宋体" w:hAnsi="宋体" w:eastAsia="宋体"/>
                <w:b w:val="0"/>
                <w:sz w:val="19"/>
              </w:rPr>
              <w:t>13.8%</w:t>
            </w:r>
          </w:p>
        </w:tc>
        <w:tc>
          <w:tcPr>
            <w:tcW w:type="dxa" w:w="1474"/>
          </w:tcPr>
          <w:p>
            <w:pPr>
              <w:jc w:val="center"/>
            </w:pPr>
            <w:r/>
            <w:r>
              <w:rPr>
                <w:rFonts w:ascii="宋体" w:hAnsi="宋体" w:eastAsia="宋体"/>
                <w:b w:val="0"/>
                <w:sz w:val="19"/>
              </w:rPr>
              <w:t>0.9306</w:t>
            </w:r>
          </w:p>
        </w:tc>
        <w:tc>
          <w:tcPr>
            <w:tcW w:type="dxa" w:w="1361"/>
          </w:tcPr>
          <w:p>
            <w:pPr>
              <w:jc w:val="center"/>
            </w:pPr>
            <w:r/>
            <w:r>
              <w:rPr>
                <w:rFonts w:ascii="宋体" w:hAnsi="宋体" w:eastAsia="宋体"/>
                <w:b w:val="0"/>
                <w:sz w:val="19"/>
              </w:rPr>
              <w:t>2.1540</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100.0%</w:t>
            </w:r>
          </w:p>
        </w:tc>
        <w:tc>
          <w:tcPr>
            <w:tcW w:type="dxa" w:w="1474"/>
          </w:tcPr>
          <w:p>
            <w:pPr>
              <w:jc w:val="center"/>
            </w:pPr>
            <w:r/>
            <w:r>
              <w:rPr>
                <w:rFonts w:ascii="宋体" w:hAnsi="宋体" w:eastAsia="宋体"/>
                <w:b w:val="0"/>
                <w:sz w:val="19"/>
              </w:rPr>
              <w:t>32.1%</w:t>
            </w:r>
          </w:p>
        </w:tc>
        <w:tc>
          <w:tcPr>
            <w:tcW w:type="dxa" w:w="1474"/>
          </w:tcPr>
          <w:p>
            <w:pPr>
              <w:jc w:val="center"/>
            </w:pPr>
            <w:r/>
            <w:r>
              <w:rPr>
                <w:rFonts w:ascii="宋体" w:hAnsi="宋体" w:eastAsia="宋体"/>
                <w:b w:val="0"/>
                <w:sz w:val="19"/>
              </w:rPr>
              <w:t>1.0348</w:t>
            </w:r>
          </w:p>
        </w:tc>
        <w:tc>
          <w:tcPr>
            <w:tcW w:type="dxa" w:w="1361"/>
          </w:tcPr>
          <w:p>
            <w:pPr>
              <w:jc w:val="center"/>
            </w:pPr>
            <w:r/>
            <w:r>
              <w:rPr>
                <w:rFonts w:ascii="宋体" w:hAnsi="宋体" w:eastAsia="宋体"/>
                <w:b w:val="0"/>
                <w:sz w:val="19"/>
              </w:rPr>
              <w:t>2.0028</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ind w:firstLine="420"/>
      </w:pPr>
      <w:r>
        <w:rPr>
          <w:rFonts w:ascii="宋体" w:hAnsi="宋体" w:eastAsia="宋体"/>
          <w:b w:val="0"/>
          <w:sz w:val="21"/>
        </w:rPr>
        <w:t>由表9可见，三种变异策略的有效变异率均较高，介于 97.5% 与 100.0% 之间，但优化成功率差异明显：激进变异为 32.1%，自适应变异为 18.8%，均匀变异为 13.8%。这说明在本文的短预算搜索中，变异策略的主要区别不在于能否生成可运行代码，而在于能否把有限的评测次数集中到更可能带来改进的方向上。最终 GM(S) 方面，均匀变异为 2.1540，激进变异为 2.0028，自适应变异为 1.9193；该排序与优化成功率并不完全一致。考虑到每种策略仅执行一轮搜索，本文将其解释为单次采样下的观测差异，尚不足以支持严格的优劣排序。</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