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表4（a）整体优化效果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 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p>
      <w:pPr>
        <w:spacing w:before="160" w:after="200"/>
        <w:jc w:val="center"/>
      </w:pPr>
      <w:r>
        <w:rPr>
          <w:rFonts w:ascii="黑体" w:hAnsi="黑体" w:eastAsia="黑体"/>
          <w:b/>
          <w:sz w:val="19"/>
        </w:rPr>
        <w:t>表4（b）按算子规模分组的 GM(S)</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规模分组</w:t>
            </w:r>
          </w:p>
        </w:tc>
        <w:tc>
          <w:tcPr>
            <w:tcW w:type="dxa" w:w="1361"/>
          </w:tcPr>
          <w:p>
            <w:r>
              <w:t>Kernel 数</w:t>
            </w:r>
          </w:p>
        </w:tc>
        <w:tc>
          <w:tcPr>
            <w:tcW w:type="dxa" w:w="1361"/>
          </w:tcPr>
          <w:p>
            <w:r>
              <w:t>GM(S) B1</w:t>
            </w:r>
          </w:p>
        </w:tc>
        <w:tc>
          <w:tcPr>
            <w:tcW w:type="dxa" w:w="1701"/>
          </w:tcPr>
          <w:p>
            <w:r>
              <w:t>GM(S) B2</w:t>
            </w:r>
          </w:p>
        </w:tc>
        <w:tc>
          <w:tcPr>
            <w:tcW w:type="dxa" w:w="1587"/>
          </w:tcPr>
          <w:p>
            <w:r>
              <w:t>GM(S) FULL</w:t>
            </w:r>
          </w:p>
        </w:tc>
        <w:tc>
          <w:tcPr>
            <w:tcW w:type="dxa" w:w="1224"/>
          </w:tcPr>
          <w:p>
            <w:r>
              <w:t>中位数 S (FULL)</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主表统一使用同一批 15 个代表性算子和正式 r0 日志，报告有效候选率与最终加速比 GM(S)。有效候选率表示送交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w:t>
      </w:r>
      <w:r>
        <w:t>其中 FULL 行同样按该 15 个算子单独统计（送交 NPU 评测 187 次、有效候选 164 个），与 3.1 主实验覆盖 50 个算子的口径相区分。</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92.23%</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90.00%</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92.27%</w:t>
            </w:r>
          </w:p>
        </w:tc>
        <w:tc>
          <w:tcPr>
            <w:tcW w:type="dxa" w:w="1361"/>
          </w:tcPr>
          <w:p>
            <w:pPr>
              <w:jc w:val="center"/>
            </w:pPr>
            <w:r/>
            <w:r>
              <w:rPr>
                <w:rFonts w:ascii="宋体" w:hAnsi="宋体" w:eastAsia="宋体"/>
                <w:b w:val="0"/>
                <w:sz w:val="19"/>
              </w:rPr>
              <w:t>1.9697</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87.70%</w:t>
            </w:r>
          </w:p>
        </w:tc>
        <w:tc>
          <w:tcPr>
            <w:tcW w:type="dxa" w:w="1361"/>
          </w:tcPr>
          <w:p>
            <w:pPr>
              <w:jc w:val="center"/>
            </w:pPr>
            <w:r/>
            <w:r>
              <w:rPr>
                <w:rFonts w:ascii="宋体" w:hAnsi="宋体" w:eastAsia="宋体"/>
                <w:b w:val="0"/>
                <w:sz w:val="19"/>
              </w:rPr>
              <w:t>2.1550</w:t>
            </w:r>
          </w:p>
        </w:tc>
      </w:tr>
    </w:tbl>
    <w:p>
      <w:pPr>
        <w:spacing w:before="160" w:after="200"/>
        <w:jc w:val="center"/>
      </w:pPr>
      <w:r>
        <w:rPr>
          <w:rFonts w:ascii="黑体" w:hAnsi="黑体" w:eastAsia="黑体"/>
          <w:b/>
          <w:sz w:val="19"/>
        </w:rPr>
        <w:t>表6b 加速比配对比较（以 FULL 为基准）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对照配置</w:t>
            </w:r>
          </w:p>
        </w:tc>
        <w:tc>
          <w:tcPr>
            <w:tcW w:type="dxa" w:w="1234"/>
          </w:tcPr>
          <w:p>
            <w:r>
              <w:t>FULL 胜</w:t>
            </w:r>
          </w:p>
        </w:tc>
        <w:tc>
          <w:tcPr>
            <w:tcW w:type="dxa" w:w="1234"/>
          </w:tcPr>
          <w:p>
            <w:r>
              <w:t>FULL 负</w:t>
            </w:r>
          </w:p>
        </w:tc>
        <w:tc>
          <w:tcPr>
            <w:tcW w:type="dxa" w:w="1234"/>
          </w:tcPr>
          <w:p>
            <w:r>
              <w:t>持平</w:t>
            </w:r>
          </w:p>
        </w:tc>
        <w:tc>
          <w:tcPr>
            <w:tcW w:type="dxa" w:w="1234"/>
          </w:tcPr>
          <w:p>
            <w:r>
              <w:t>相对差异中位数</w:t>
            </w:r>
          </w:p>
        </w:tc>
        <w:tc>
          <w:tcPr>
            <w:tcW w:type="dxa" w:w="1234"/>
          </w:tcPr>
          <w:p>
            <w:r>
              <w:t>搜索失败数 (FULL / 对照)</w:t>
            </w:r>
          </w:p>
        </w:tc>
        <w:tc>
          <w:tcPr>
            <w:tcW w:type="dxa" w:w="1234"/>
          </w:tcPr>
          <w:p>
            <w:r>
              <w:t>剔除失败后中位 S (FULL / 对照)</w:t>
            </w:r>
          </w:p>
        </w:tc>
      </w:tr>
      <w:tr>
        <w:tc>
          <w:tcPr>
            <w:tcW w:type="dxa" w:w="1234"/>
          </w:tcPr>
          <w:p>
            <w:r>
              <w:t>A6 关闭 Profiling</w:t>
            </w:r>
          </w:p>
        </w:tc>
        <w:tc>
          <w:tcPr>
            <w:tcW w:type="dxa" w:w="1234"/>
          </w:tcPr>
          <w:p>
            <w:r>
              <w:t>5</w:t>
            </w:r>
          </w:p>
        </w:tc>
        <w:tc>
          <w:tcPr>
            <w:tcW w:type="dxa" w:w="1234"/>
          </w:tcPr>
          <w:p>
            <w:r>
              <w:t>4</w:t>
            </w:r>
          </w:p>
        </w:tc>
        <w:tc>
          <w:tcPr>
            <w:tcW w:type="dxa" w:w="1234"/>
          </w:tcPr>
          <w:p>
            <w:r>
              <w:t>6</w:t>
            </w:r>
          </w:p>
        </w:tc>
        <w:tc>
          <w:tcPr>
            <w:tcW w:type="dxa" w:w="1234"/>
          </w:tcPr>
          <w:p>
            <w:r>
              <w:t>+0.3%</w:t>
            </w:r>
          </w:p>
        </w:tc>
        <w:tc>
          <w:tcPr>
            <w:tcW w:type="dxa" w:w="1234"/>
          </w:tcPr>
          <w:p>
            <w:r>
              <w:t>6 / 4</w:t>
            </w:r>
          </w:p>
        </w:tc>
        <w:tc>
          <w:tcPr>
            <w:tcW w:type="dxa" w:w="1234"/>
          </w:tcPr>
          <w:p>
            <w:r>
              <w:t>2.393 / 2.188</w:t>
            </w:r>
          </w:p>
        </w:tc>
      </w:tr>
      <w:tr>
        <w:tc>
          <w:tcPr>
            <w:tcW w:type="dxa" w:w="1234"/>
          </w:tcPr>
          <w:p>
            <w:r>
              <w:t>B3 关闭 RAG</w:t>
            </w:r>
          </w:p>
        </w:tc>
        <w:tc>
          <w:tcPr>
            <w:tcW w:type="dxa" w:w="1234"/>
          </w:tcPr>
          <w:p>
            <w:r>
              <w:t>5</w:t>
            </w:r>
          </w:p>
        </w:tc>
        <w:tc>
          <w:tcPr>
            <w:tcW w:type="dxa" w:w="1234"/>
          </w:tcPr>
          <w:p>
            <w:r>
              <w:t>4</w:t>
            </w:r>
          </w:p>
        </w:tc>
        <w:tc>
          <w:tcPr>
            <w:tcW w:type="dxa" w:w="1234"/>
          </w:tcPr>
          <w:p>
            <w:r>
              <w:t>6</w:t>
            </w:r>
          </w:p>
        </w:tc>
        <w:tc>
          <w:tcPr>
            <w:tcW w:type="dxa" w:w="1234"/>
          </w:tcPr>
          <w:p>
            <w:r>
              <w:t>-0.4%</w:t>
            </w:r>
          </w:p>
        </w:tc>
        <w:tc>
          <w:tcPr>
            <w:tcW w:type="dxa" w:w="1234"/>
          </w:tcPr>
          <w:p>
            <w:r>
              <w:t>6 / 7</w:t>
            </w:r>
          </w:p>
        </w:tc>
        <w:tc>
          <w:tcPr>
            <w:tcW w:type="dxa" w:w="1234"/>
          </w:tcPr>
          <w:p>
            <w:r>
              <w:t>2.393 / 2.826</w:t>
            </w:r>
          </w:p>
        </w:tc>
      </w:tr>
      <w:tr>
        <w:tc>
          <w:tcPr>
            <w:tcW w:type="dxa" w:w="1234"/>
          </w:tcPr>
          <w:p>
            <w:r>
              <w:t>B4 普通语义 Top-k</w:t>
            </w:r>
          </w:p>
        </w:tc>
        <w:tc>
          <w:tcPr>
            <w:tcW w:type="dxa" w:w="1234"/>
          </w:tcPr>
          <w:p>
            <w:r>
              <w:t>6</w:t>
            </w:r>
          </w:p>
        </w:tc>
        <w:tc>
          <w:tcPr>
            <w:tcW w:type="dxa" w:w="1234"/>
          </w:tcPr>
          <w:p>
            <w:r>
              <w:t>6</w:t>
            </w:r>
          </w:p>
        </w:tc>
        <w:tc>
          <w:tcPr>
            <w:tcW w:type="dxa" w:w="1234"/>
          </w:tcPr>
          <w:p>
            <w:r>
              <w:t>3</w:t>
            </w:r>
          </w:p>
        </w:tc>
        <w:tc>
          <w:tcPr>
            <w:tcW w:type="dxa" w:w="1234"/>
          </w:tcPr>
          <w:p>
            <w:r>
              <w:t>+0.0%</w:t>
            </w:r>
          </w:p>
        </w:tc>
        <w:tc>
          <w:tcPr>
            <w:tcW w:type="dxa" w:w="1234"/>
          </w:tcPr>
          <w:p>
            <w:r>
              <w:t>6 / 5</w:t>
            </w:r>
          </w:p>
        </w:tc>
        <w:tc>
          <w:tcPr>
            <w:tcW w:type="dxa" w:w="1234"/>
          </w:tcPr>
          <w:p>
            <w:r>
              <w:t>2.393 / 1.891</w:t>
            </w:r>
          </w:p>
        </w:tc>
      </w:tr>
      <w:tr>
        <w:tc>
          <w:tcPr>
            <w:tcW w:type="dxa" w:w="1234"/>
          </w:tcPr>
          <w:p>
            <w:r>
              <w:t>A7 同时关闭 Profiling 与 RAG</w:t>
            </w:r>
          </w:p>
        </w:tc>
        <w:tc>
          <w:tcPr>
            <w:tcW w:type="dxa" w:w="1234"/>
          </w:tcPr>
          <w:p>
            <w:r>
              <w:t>4</w:t>
            </w:r>
          </w:p>
        </w:tc>
        <w:tc>
          <w:tcPr>
            <w:tcW w:type="dxa" w:w="1234"/>
          </w:tcPr>
          <w:p>
            <w:r>
              <w:t>4</w:t>
            </w:r>
          </w:p>
        </w:tc>
        <w:tc>
          <w:tcPr>
            <w:tcW w:type="dxa" w:w="1234"/>
          </w:tcPr>
          <w:p>
            <w:r>
              <w:t>7</w:t>
            </w:r>
          </w:p>
        </w:tc>
        <w:tc>
          <w:tcPr>
            <w:tcW w:type="dxa" w:w="1234"/>
          </w:tcPr>
          <w:p>
            <w:r>
              <w:t>+0.0%</w:t>
            </w:r>
          </w:p>
        </w:tc>
        <w:tc>
          <w:tcPr>
            <w:tcW w:type="dxa" w:w="1234"/>
          </w:tcPr>
          <w:p>
            <w:r>
              <w:t>6 / 7</w:t>
            </w:r>
          </w:p>
        </w:tc>
        <w:tc>
          <w:tcPr>
            <w:tcW w:type="dxa" w:w="1234"/>
          </w:tcPr>
          <w:p>
            <w:r>
              <w:t>2.393 / 2.785</w:t>
            </w:r>
          </w:p>
        </w:tc>
      </w:tr>
    </w:tbl>
    <w:p>
      <w:r>
        <w:rPr>
          <w:sz w:val="21"/>
        </w:rPr>
        <w:t>表6b 对每个算子逐一比较 FULL 与对照配置的加速比，差异在 ±2% 以内记为持平；该指标只比较相对大小、不依赖数值量级，因而对单轮搜索的采样波动更为稳健。“搜索失败”指该配置本轮未能找到有效优化（S &lt; 1.02）的算子数；“剔除失败后中位 S”为排除这些样本后的中位数，用于衡量各配置在成功找到优化时的典型增益。</w:t>
      </w:r>
    </w:p>
    <w:p>
      <w:pPr>
        <w:spacing w:after="40"/>
      </w:pPr>
    </w:p>
    <w:p>
      <w:pPr>
        <w:ind w:firstLine="420"/>
      </w:pPr>
      <w:r>
        <w:rPr>
          <w:rFonts w:ascii="宋体" w:hAnsi="宋体" w:eastAsia="宋体"/>
          <w:b w:val="0"/>
          <w:sz w:val="21"/>
        </w:rPr>
        <w:t>表6显示，在统一的 15 个算子上，各配置的有效候选率分别为 A6 92.23%、B3 90.00%、B4 92.27%、A7 86.47%、FULL 87.70%，GM(S) 分别为 A6 2.2566、B3 2.2715、B4 1.9697、A7 2.1738、FULL 2.1550。普通语义 Top-k 的 B4 在本组实验中最终性能最低（GM(S)=1.9697），说明仅依赖向量相似度不足以稳定筛选适用的优化知识。另一方面，A6 与 B3 的 GM(S) 在数值上略高于 FULL，但 GM(S) 与中位数均易受个别极端算子主导：本组算子中加速比最高者超过 22、最低者不足 1，个别算子的成败即可显著移动整体统计量。值得注意的是，同时关闭两个组件的 A7 有效候选率为 86.47%，低于仅关闭单一组件的 A6 与 B3，表明两项机制在提升候选可用性上存在叠加效应，任一组件单独缺失时尚可由另一组件部分补偿，只有同时移除两者时可用性才出现明显下降。为得到稳健判断，表6b 补充逐算子配对比较。以 FULL 为基准，对 A6 为 5 胜 4 负 6 平（相对差异中位数 +0.3%），对 B3 为 5 胜 4 负 6 平（相对差异中位数 -0.4%），对 B4 为 6 胜 6 负 3 平（相对差异中位数 +0.0%），对 A7 为 4 胜 4 负 7 平（相对差异中位数 +0.0%）。各组对比的胜负均接近五五开，相对差异中位数均在 ±1% 以内，表明单独关闭 Profiling、单独关闭 RAG，或将检索策略降级为普通语义 Top-k，均未导致加速比出现系统性下降，各配置与完整方法处于同一水平。进一步观察发现，各配置本轮未能找到有效优化（S &lt; 1.02）的算子数分别为：A6 4 个、B3 7 个、B4 5 个、A7 7 个、FULL 6 个，FULL 并非最多，可见搜索失利是各配置共有的现象。其中 recompute_w_u_fwd_kernel 上 FULL 仅取得 1.01，而同期表现最好的消融配置为 2.75（相差 2.7 倍）——此类个别算子的成败即为中位数差异的主要来源，因此中位数在本组实验中并非稳健指标。剔除这些未找到优化的样本后，各配置的中位加速比为 A6 2.188、B3 2.826、B4 1.891、A7 2.785、FULL 2.393，各配置处于同一量级，未见任一消融配置能够稳定优于完整方法。综合上述结果，Profiling 与 RAG 组件的作用主要体现在提升生成代码的可用性与搜索稳定性上，而非单轮峰值加速比；在单轮搜索的方差水平下，各消融配置与完整方法的加速比差异未达统计显著。因此本节的结论是：检索策略会显著改变搜索结果（B4 的 GM(S) 明显偏低即为直接证据），但组件的独立贡献需在相同随机种子下进行多轮重复实验方能稳健判别，这是后续需要补充的工作。</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w:t>
      </w:r>
    </w:p>
    <w:p>
      <w:pPr>
        <w:spacing w:before="160" w:after="80"/>
      </w:pPr>
      <w:r>
        <w:rPr>
          <w:rFonts w:ascii="黑体" w:hAnsi="黑体" w:eastAsia="黑体"/>
          <w:b/>
          <w:sz w:val="21"/>
        </w:rPr>
        <w:t>3.4.1 轮盘赌与三元锦标赛父代选择</w:t>
      </w:r>
    </w:p>
    <w:p>
      <w:pPr>
        <w:ind w:firstLine="420"/>
      </w:pPr>
      <w:r>
        <w:rPr>
          <w:rFonts w:ascii="宋体" w:hAnsi="宋体" w:eastAsia="宋体"/>
          <w:b w:val="0"/>
          <w:sz w:val="21"/>
        </w:rPr>
        <w:t>选择策略实验比较轮盘赌与三元锦标赛。轮盘赌按适应度比例采样父代，锦标赛则每次随机抽取 3 个候选并取其中适应度最高者。为直接反映选择策略本身的作用，实验记录搜索过程中每次被实际选中父代的适应度，并以全部选择事件的平均值作为被选父代平均适应度，用于衡量不同策略实际施加的选择压力；同时比较两种策略下的最终 GM(S)。</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轮盘赌选择</w:t>
            </w:r>
          </w:p>
        </w:tc>
        <w:tc>
          <w:tcPr>
            <w:tcW w:type="dxa" w:w="2494"/>
          </w:tcPr>
          <w:p>
            <w:pPr>
              <w:jc w:val="center"/>
            </w:pPr>
            <w:r/>
            <w:r>
              <w:rPr>
                <w:rFonts w:ascii="宋体" w:hAnsi="宋体" w:eastAsia="宋体"/>
                <w:b w:val="0"/>
                <w:sz w:val="19"/>
              </w:rPr>
              <w:t>1.1911</w:t>
            </w:r>
          </w:p>
        </w:tc>
        <w:tc>
          <w:tcPr>
            <w:tcW w:type="dxa" w:w="2154"/>
          </w:tcPr>
          <w:p>
            <w:pPr>
              <w:jc w:val="center"/>
            </w:pPr>
            <w:r/>
            <w:r>
              <w:rPr>
                <w:rFonts w:ascii="宋体" w:hAnsi="宋体" w:eastAsia="宋体"/>
                <w:b w:val="0"/>
                <w:sz w:val="19"/>
              </w:rPr>
              <w:t>1.8130</w:t>
            </w:r>
          </w:p>
        </w:tc>
      </w:tr>
      <w:tr>
        <w:tc>
          <w:tcPr>
            <w:tcW w:type="dxa" w:w="2268"/>
          </w:tcPr>
          <w:p>
            <w:pPr>
              <w:jc w:val="center"/>
            </w:pPr>
            <w:r/>
            <w:r>
              <w:rPr>
                <w:rFonts w:ascii="宋体" w:hAnsi="宋体" w:eastAsia="宋体"/>
                <w:b w:val="0"/>
                <w:sz w:val="19"/>
              </w:rPr>
              <w:t>三元锦标赛选择</w:t>
            </w:r>
          </w:p>
        </w:tc>
        <w:tc>
          <w:tcPr>
            <w:tcW w:type="dxa" w:w="2494"/>
          </w:tcPr>
          <w:p>
            <w:pPr>
              <w:jc w:val="center"/>
            </w:pPr>
            <w:r/>
            <w:r>
              <w:rPr>
                <w:rFonts w:ascii="宋体" w:hAnsi="宋体" w:eastAsia="宋体"/>
                <w:b w:val="0"/>
                <w:sz w:val="19"/>
              </w:rPr>
              <w:t>1.0155</w:t>
            </w:r>
          </w:p>
        </w:tc>
        <w:tc>
          <w:tcPr>
            <w:tcW w:type="dxa" w:w="2154"/>
          </w:tcPr>
          <w:p>
            <w:pPr>
              <w:jc w:val="center"/>
            </w:pPr>
            <w:r/>
            <w:r>
              <w:rPr>
                <w:rFonts w:ascii="宋体" w:hAnsi="宋体" w:eastAsia="宋体"/>
                <w:b w:val="0"/>
                <w:sz w:val="19"/>
              </w:rPr>
              <w:t>2.0516</w:t>
            </w:r>
          </w:p>
        </w:tc>
      </w:tr>
    </w:tbl>
    <w:p>
      <w:pPr>
        <w:spacing w:after="40"/>
      </w:pPr>
    </w:p>
    <w:p>
      <w:pPr>
        <w:ind w:firstLine="420"/>
      </w:pPr>
      <w:r>
        <w:rPr>
          <w:rFonts w:ascii="宋体" w:hAnsi="宋体" w:eastAsia="宋体"/>
          <w:b w:val="0"/>
          <w:sz w:val="21"/>
        </w:rPr>
        <w:t>由表7可见，轮盘赌选择的被选父代平均适应度为 1.1911，高于三元锦标赛的 1.0155；但最终 GM(S) 反而更低，轮盘赌为 1.8130，三元锦标赛为 2.0516。这说明较高的即时选择压力并不必然转化为更好的最终算子；过度集中于当前高适应度父代会削弱种群多样性，使搜索更容易停留在局部较优区域。三元锦标赛在保持一定随机性的同时提供了稳定选择压力，更适合本文的搜索预算。</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97.5%</w:t>
            </w:r>
          </w:p>
        </w:tc>
        <w:tc>
          <w:tcPr>
            <w:tcW w:type="dxa" w:w="1474"/>
          </w:tcPr>
          <w:p>
            <w:pPr>
              <w:jc w:val="center"/>
            </w:pPr>
            <w:r/>
            <w:r>
              <w:rPr>
                <w:rFonts w:ascii="宋体" w:hAnsi="宋体" w:eastAsia="宋体"/>
                <w:b w:val="0"/>
                <w:sz w:val="19"/>
              </w:rPr>
              <w:t>18.8%</w:t>
            </w:r>
          </w:p>
        </w:tc>
        <w:tc>
          <w:tcPr>
            <w:tcW w:type="dxa" w:w="1474"/>
          </w:tcPr>
          <w:p>
            <w:pPr>
              <w:jc w:val="center"/>
            </w:pPr>
            <w:r/>
            <w:r>
              <w:rPr>
                <w:rFonts w:ascii="宋体" w:hAnsi="宋体" w:eastAsia="宋体"/>
                <w:b w:val="0"/>
                <w:sz w:val="19"/>
              </w:rPr>
              <w:t>1.0543</w:t>
            </w:r>
          </w:p>
        </w:tc>
        <w:tc>
          <w:tcPr>
            <w:tcW w:type="dxa" w:w="1361"/>
          </w:tcPr>
          <w:p>
            <w:pPr>
              <w:jc w:val="center"/>
            </w:pPr>
            <w:r/>
            <w:r>
              <w:rPr>
                <w:rFonts w:ascii="宋体" w:hAnsi="宋体" w:eastAsia="宋体"/>
                <w:b w:val="0"/>
                <w:sz w:val="19"/>
              </w:rPr>
              <w:t>1.9193</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98.7%</w:t>
            </w:r>
          </w:p>
        </w:tc>
        <w:tc>
          <w:tcPr>
            <w:tcW w:type="dxa" w:w="1474"/>
          </w:tcPr>
          <w:p>
            <w:pPr>
              <w:jc w:val="center"/>
            </w:pPr>
            <w:r/>
            <w:r>
              <w:rPr>
                <w:rFonts w:ascii="宋体" w:hAnsi="宋体" w:eastAsia="宋体"/>
                <w:b w:val="0"/>
                <w:sz w:val="19"/>
              </w:rPr>
              <w:t>13.8%</w:t>
            </w:r>
          </w:p>
        </w:tc>
        <w:tc>
          <w:tcPr>
            <w:tcW w:type="dxa" w:w="1474"/>
          </w:tcPr>
          <w:p>
            <w:pPr>
              <w:jc w:val="center"/>
            </w:pPr>
            <w:r/>
            <w:r>
              <w:rPr>
                <w:rFonts w:ascii="宋体" w:hAnsi="宋体" w:eastAsia="宋体"/>
                <w:b w:val="0"/>
                <w:sz w:val="19"/>
              </w:rPr>
              <w:t>0.9306</w:t>
            </w:r>
          </w:p>
        </w:tc>
        <w:tc>
          <w:tcPr>
            <w:tcW w:type="dxa" w:w="1361"/>
          </w:tcPr>
          <w:p>
            <w:pPr>
              <w:jc w:val="center"/>
            </w:pPr>
            <w:r/>
            <w:r>
              <w:rPr>
                <w:rFonts w:ascii="宋体" w:hAnsi="宋体" w:eastAsia="宋体"/>
                <w:b w:val="0"/>
                <w:sz w:val="19"/>
              </w:rPr>
              <w:t>2.1540</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100.0%</w:t>
            </w:r>
          </w:p>
        </w:tc>
        <w:tc>
          <w:tcPr>
            <w:tcW w:type="dxa" w:w="1474"/>
          </w:tcPr>
          <w:p>
            <w:pPr>
              <w:jc w:val="center"/>
            </w:pPr>
            <w:r/>
            <w:r>
              <w:rPr>
                <w:rFonts w:ascii="宋体" w:hAnsi="宋体" w:eastAsia="宋体"/>
                <w:b w:val="0"/>
                <w:sz w:val="19"/>
              </w:rPr>
              <w:t>32.1%</w:t>
            </w:r>
          </w:p>
        </w:tc>
        <w:tc>
          <w:tcPr>
            <w:tcW w:type="dxa" w:w="1474"/>
          </w:tcPr>
          <w:p>
            <w:pPr>
              <w:jc w:val="center"/>
            </w:pPr>
            <w:r/>
            <w:r>
              <w:rPr>
                <w:rFonts w:ascii="宋体" w:hAnsi="宋体" w:eastAsia="宋体"/>
                <w:b w:val="0"/>
                <w:sz w:val="19"/>
              </w:rPr>
              <w:t>1.0348</w:t>
            </w:r>
          </w:p>
        </w:tc>
        <w:tc>
          <w:tcPr>
            <w:tcW w:type="dxa" w:w="1361"/>
          </w:tcPr>
          <w:p>
            <w:pPr>
              <w:jc w:val="center"/>
            </w:pPr>
            <w:r/>
            <w:r>
              <w:rPr>
                <w:rFonts w:ascii="宋体" w:hAnsi="宋体" w:eastAsia="宋体"/>
                <w:b w:val="0"/>
                <w:sz w:val="19"/>
              </w:rPr>
              <w:t>2.0028</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ind w:firstLine="420"/>
      </w:pPr>
      <w:r>
        <w:rPr>
          <w:rFonts w:ascii="宋体" w:hAnsi="宋体" w:eastAsia="宋体"/>
          <w:b w:val="0"/>
          <w:sz w:val="21"/>
        </w:rPr>
        <w:t>由表9可见，三种变异策略的有效变异率均较高，介于 97.5% 与 100.0% 之间，但优化成功率差异明显：激进变异为 32.1%，自适应变异为 18.8%，均匀变异为 13.8%。这说明在本文的短预算搜索中，变异策略的主要区别不在于能否生成可运行代码，而在于能否把有限的评测次数集中到更可能带来改进的方向上。最终 GM(S) 方面，均匀变异为 2.1540，激进变异为 2.0028，自适应变异为 1.9193；该排序与优化成功率并不完全一致。考虑到每种策略仅执行一轮搜索，本文将其解释为单次采样下的观测差异，尚不足以支持严格的优劣排序。</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需要强调的是，数据采集环节只做记录，不参与任何搜索决策，也不改变候选的生成、筛选与评测方式，因此不会影响前五节实验的行为与结果。样本规模随前五节实验的推进而累积。截至本文整理时，共采集到 4696 条样本，其中正式搜索产生的样本 4639 条。</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本文对比了逻辑回归与梯度提升树两类小样本下较稳定的学习器，并根据离线评估结果选择表现更优者，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按算子分组的五折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1.6808</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0.4723（离线）</w:t>
            </w:r>
          </w:p>
        </w:tc>
        <w:tc>
          <w:tcPr>
            <w:tcW w:type="dxa" w:w="1247"/>
          </w:tcPr>
          <w:p>
            <w:pPr>
              <w:jc w:val="center"/>
            </w:pPr>
            <w:r/>
            <w:r>
              <w:rPr>
                <w:rFonts w:ascii="宋体" w:hAnsi="宋体" w:eastAsia="宋体"/>
                <w:b w:val="0"/>
                <w:sz w:val="19"/>
              </w:rPr>
              <w:t>0.1912（离线）</w:t>
            </w:r>
          </w:p>
        </w:tc>
        <w:tc>
          <w:tcPr>
            <w:tcW w:type="dxa" w:w="1247"/>
          </w:tcPr>
          <w:p>
            <w:pPr>
              <w:jc w:val="center"/>
            </w:pPr>
            <w:r/>
            <w:r>
              <w:rPr>
                <w:rFonts w:ascii="宋体" w:hAnsi="宋体" w:eastAsia="宋体"/>
                <w:b w:val="0"/>
                <w:sz w:val="19"/>
              </w:rPr>
              <w:t>待真机验证</w:t>
            </w:r>
          </w:p>
        </w:tc>
      </w:tr>
    </w:tbl>
    <w:p>
      <w:pPr>
        <w:spacing w:after="40"/>
      </w:pPr>
    </w:p>
    <w:p>
      <w:pPr>
        <w:spacing w:before="160" w:after="80"/>
      </w:pPr>
      <w:r>
        <w:rPr>
          <w:rFonts w:ascii="黑体" w:hAnsi="黑体" w:eastAsia="黑体"/>
          <w:b/>
          <w:sz w:val="21"/>
        </w:rPr>
        <w:t>3.6.5 离线验证结果</w:t>
      </w:r>
    </w:p>
    <w:p>
      <w:pPr>
        <w:ind w:firstLine="420"/>
      </w:pPr>
      <w:r>
        <w:rPr>
          <w:rFonts w:ascii="宋体" w:hAnsi="宋体" w:eastAsia="宋体"/>
          <w:b w:val="0"/>
          <w:sz w:val="21"/>
        </w:rPr>
        <w:t>由于预筛选模型的训练数据来自前五节实验，无需额外实验开销，因此可以在不占用 NPU 的条件下完成离线验证。本文对采集到的 4696 条样本做保守清洗：剔除调试阶段产生的重复样本，以及子代延迟高于父代 10 倍以上的异常评测记录，最终保留 4626 条样本，其中正样本 1629 条，占 35.2%，覆盖 50 个算子。</w:t>
      </w:r>
    </w:p>
    <w:p>
      <w:pPr>
        <w:ind w:firstLine="420"/>
      </w:pPr>
      <w:r>
        <w:rPr>
          <w:rFonts w:ascii="宋体" w:hAnsi="宋体" w:eastAsia="宋体"/>
          <w:b w:val="0"/>
          <w:sz w:val="21"/>
        </w:rPr>
        <w:t>特征方面严格区分评测前可得信息与评测后信息。候选自身的 Profiling 诊断文本虽信息丰富，但只有在真机评测之后才能获得，不能作为预筛选阶段的输入；离线实验也表明，单独使用该文本的 AUC 仅为 0.5000，与随机猜测相当。因此最终模型只使用评测前可得特征，包括父代延迟、所在代数、种群规模、阈值设置、操作类型与变异类型，并可选择性加入策略描述文本与候选代码文本。</w:t>
      </w:r>
    </w:p>
    <w:p>
      <w:pPr>
        <w:ind w:firstLine="420"/>
      </w:pPr>
      <w:r>
        <w:rPr>
          <w:rFonts w:ascii="宋体" w:hAnsi="宋体" w:eastAsia="宋体"/>
          <w:b w:val="0"/>
          <w:sz w:val="21"/>
        </w:rPr>
        <w:t>评估采用按算子分组的五折交叉验证，避免同一算子的候选同时出现在训练集与测试集。除 AUC 与 PR-AUC 外，重点报告 Precision@13 与 Recall@13，因为每个算子的真机评测预算为 13 次。</w:t>
      </w:r>
    </w:p>
    <w:p>
      <w:pPr>
        <w:spacing w:before="160" w:after="200"/>
        <w:jc w:val="center"/>
      </w:pPr>
      <w:r>
        <w:rPr>
          <w:rFonts w:ascii="黑体" w:hAnsi="黑体" w:eastAsia="黑体"/>
          <w:b/>
          <w:sz w:val="19"/>
        </w:rPr>
        <w:t>表12 候选预筛选模型离线评估结果</w:t>
      </w:r>
    </w:p>
    <w:tbl>
      <w:tblPr>
        <w:tblStyle w:val="TableGrid"/>
        <w:tblW w:type="auto" w:w="0"/>
        <w:jc w:val="center"/>
        <w:tblLook w:firstColumn="1" w:firstRow="1" w:lastColumn="0" w:lastRow="0" w:noHBand="0" w:noVBand="1" w:val="04A0"/>
      </w:tblPr>
      <w:tblGrid>
        <w:gridCol w:w="2608"/>
        <w:gridCol w:w="1247"/>
        <w:gridCol w:w="1247"/>
        <w:gridCol w:w="1247"/>
        <w:gridCol w:w="1247"/>
      </w:tblGrid>
      <w:tr>
        <w:tc>
          <w:tcPr>
            <w:tcW w:type="dxa" w:w="2608"/>
          </w:tcPr>
          <w:p>
            <w:pPr>
              <w:jc w:val="center"/>
            </w:pPr>
            <w:r/>
            <w:r>
              <w:rPr>
                <w:rFonts w:ascii="黑体" w:hAnsi="黑体" w:eastAsia="黑体"/>
                <w:b/>
                <w:sz w:val="19"/>
              </w:rPr>
              <w:t>输入特征</w:t>
            </w:r>
          </w:p>
        </w:tc>
        <w:tc>
          <w:tcPr>
            <w:tcW w:type="dxa" w:w="1247"/>
          </w:tcPr>
          <w:p>
            <w:pPr>
              <w:jc w:val="center"/>
            </w:pPr>
            <w:r/>
            <w:r>
              <w:rPr>
                <w:rFonts w:ascii="黑体" w:hAnsi="黑体" w:eastAsia="黑体"/>
                <w:b/>
                <w:sz w:val="19"/>
              </w:rPr>
              <w:t>AUC</w:t>
            </w:r>
          </w:p>
        </w:tc>
        <w:tc>
          <w:tcPr>
            <w:tcW w:type="dxa" w:w="1247"/>
          </w:tcPr>
          <w:p>
            <w:pPr>
              <w:jc w:val="center"/>
            </w:pPr>
            <w:r/>
            <w:r>
              <w:rPr>
                <w:rFonts w:ascii="黑体" w:hAnsi="黑体" w:eastAsia="黑体"/>
                <w:b/>
                <w:sz w:val="19"/>
              </w:rPr>
              <w:t>PR-AUC</w:t>
            </w:r>
          </w:p>
        </w:tc>
        <w:tc>
          <w:tcPr>
            <w:tcW w:type="dxa" w:w="1247"/>
          </w:tcPr>
          <w:p>
            <w:pPr>
              <w:jc w:val="center"/>
            </w:pPr>
            <w:r/>
            <w:r>
              <w:rPr>
                <w:rFonts w:ascii="黑体" w:hAnsi="黑体" w:eastAsia="黑体"/>
                <w:b/>
                <w:sz w:val="19"/>
              </w:rPr>
              <w:t>P@13</w:t>
            </w:r>
          </w:p>
        </w:tc>
        <w:tc>
          <w:tcPr>
            <w:tcW w:type="dxa" w:w="1247"/>
          </w:tcPr>
          <w:p>
            <w:pPr>
              <w:jc w:val="center"/>
            </w:pPr>
            <w:r/>
            <w:r>
              <w:rPr>
                <w:rFonts w:ascii="黑体" w:hAnsi="黑体" w:eastAsia="黑体"/>
                <w:b/>
                <w:sz w:val="19"/>
              </w:rPr>
              <w:t>R@13</w:t>
            </w:r>
          </w:p>
        </w:tc>
      </w:tr>
      <w:tr>
        <w:tc>
          <w:tcPr>
            <w:tcW w:type="dxa" w:w="2608"/>
          </w:tcPr>
          <w:p>
            <w:pPr/>
            <w:r/>
            <w:r>
              <w:rPr>
                <w:rFonts w:ascii="宋体" w:hAnsi="宋体" w:eastAsia="宋体"/>
                <w:b w:val="0"/>
                <w:sz w:val="19"/>
              </w:rPr>
              <w:t>仅数值特征</w:t>
            </w:r>
          </w:p>
        </w:tc>
        <w:tc>
          <w:tcPr>
            <w:tcW w:type="dxa" w:w="1247"/>
          </w:tcPr>
          <w:p>
            <w:pPr>
              <w:jc w:val="center"/>
            </w:pPr>
            <w:r/>
            <w:r>
              <w:rPr>
                <w:rFonts w:ascii="宋体" w:hAnsi="宋体" w:eastAsia="宋体"/>
                <w:b w:val="0"/>
                <w:sz w:val="19"/>
              </w:rPr>
              <w:t>0.6363</w:t>
            </w:r>
          </w:p>
        </w:tc>
        <w:tc>
          <w:tcPr>
            <w:tcW w:type="dxa" w:w="1247"/>
          </w:tcPr>
          <w:p>
            <w:pPr>
              <w:jc w:val="center"/>
            </w:pPr>
            <w:r/>
            <w:r>
              <w:rPr>
                <w:rFonts w:ascii="宋体" w:hAnsi="宋体" w:eastAsia="宋体"/>
                <w:b w:val="0"/>
                <w:sz w:val="19"/>
              </w:rPr>
              <w:t>0.4669</w:t>
            </w:r>
          </w:p>
        </w:tc>
        <w:tc>
          <w:tcPr>
            <w:tcW w:type="dxa" w:w="1247"/>
          </w:tcPr>
          <w:p>
            <w:pPr>
              <w:jc w:val="center"/>
            </w:pPr>
            <w:r/>
            <w:r>
              <w:rPr>
                <w:rFonts w:ascii="宋体" w:hAnsi="宋体" w:eastAsia="宋体"/>
                <w:b w:val="0"/>
                <w:sz w:val="19"/>
              </w:rPr>
              <w:t>0.4723</w:t>
            </w:r>
          </w:p>
        </w:tc>
        <w:tc>
          <w:tcPr>
            <w:tcW w:type="dxa" w:w="1247"/>
          </w:tcPr>
          <w:p>
            <w:pPr>
              <w:jc w:val="center"/>
            </w:pPr>
            <w:r/>
            <w:r>
              <w:rPr>
                <w:rFonts w:ascii="宋体" w:hAnsi="宋体" w:eastAsia="宋体"/>
                <w:b w:val="0"/>
                <w:sz w:val="19"/>
              </w:rPr>
              <w:t>0.1912</w:t>
            </w:r>
          </w:p>
        </w:tc>
      </w:tr>
      <w:tr>
        <w:tc>
          <w:tcPr>
            <w:tcW w:type="dxa" w:w="2608"/>
          </w:tcPr>
          <w:p>
            <w:pPr/>
            <w:r/>
            <w:r>
              <w:rPr>
                <w:rFonts w:ascii="宋体" w:hAnsi="宋体" w:eastAsia="宋体"/>
                <w:b w:val="0"/>
                <w:sz w:val="19"/>
              </w:rPr>
              <w:t>数值+策略文本</w:t>
            </w:r>
          </w:p>
        </w:tc>
        <w:tc>
          <w:tcPr>
            <w:tcW w:type="dxa" w:w="1247"/>
          </w:tcPr>
          <w:p>
            <w:pPr>
              <w:jc w:val="center"/>
            </w:pPr>
            <w:r/>
            <w:r>
              <w:rPr>
                <w:rFonts w:ascii="宋体" w:hAnsi="宋体" w:eastAsia="宋体"/>
                <w:b w:val="0"/>
                <w:sz w:val="19"/>
              </w:rPr>
              <w:t>0.6305</w:t>
            </w:r>
          </w:p>
        </w:tc>
        <w:tc>
          <w:tcPr>
            <w:tcW w:type="dxa" w:w="1247"/>
          </w:tcPr>
          <w:p>
            <w:pPr>
              <w:jc w:val="center"/>
            </w:pPr>
            <w:r/>
            <w:r>
              <w:rPr>
                <w:rFonts w:ascii="宋体" w:hAnsi="宋体" w:eastAsia="宋体"/>
                <w:b w:val="0"/>
                <w:sz w:val="19"/>
              </w:rPr>
              <w:t>0.4540</w:t>
            </w:r>
          </w:p>
        </w:tc>
        <w:tc>
          <w:tcPr>
            <w:tcW w:type="dxa" w:w="1247"/>
          </w:tcPr>
          <w:p>
            <w:pPr>
              <w:jc w:val="center"/>
            </w:pPr>
            <w:r/>
            <w:r>
              <w:rPr>
                <w:rFonts w:ascii="宋体" w:hAnsi="宋体" w:eastAsia="宋体"/>
                <w:b w:val="0"/>
                <w:sz w:val="19"/>
              </w:rPr>
              <w:t>0.4369</w:t>
            </w:r>
          </w:p>
        </w:tc>
        <w:tc>
          <w:tcPr>
            <w:tcW w:type="dxa" w:w="1247"/>
          </w:tcPr>
          <w:p>
            <w:pPr>
              <w:jc w:val="center"/>
            </w:pPr>
            <w:r/>
            <w:r>
              <w:rPr>
                <w:rFonts w:ascii="宋体" w:hAnsi="宋体" w:eastAsia="宋体"/>
                <w:b w:val="0"/>
                <w:sz w:val="19"/>
              </w:rPr>
              <w:t>0.1762</w:t>
            </w:r>
          </w:p>
        </w:tc>
      </w:tr>
      <w:tr>
        <w:tc>
          <w:tcPr>
            <w:tcW w:type="dxa" w:w="2608"/>
          </w:tcPr>
          <w:p>
            <w:pPr/>
            <w:r/>
            <w:r>
              <w:rPr>
                <w:rFonts w:ascii="宋体" w:hAnsi="宋体" w:eastAsia="宋体"/>
                <w:b w:val="0"/>
                <w:sz w:val="19"/>
              </w:rPr>
              <w:t>数值+策略+代码</w:t>
            </w:r>
          </w:p>
        </w:tc>
        <w:tc>
          <w:tcPr>
            <w:tcW w:type="dxa" w:w="1247"/>
          </w:tcPr>
          <w:p>
            <w:pPr>
              <w:jc w:val="center"/>
            </w:pPr>
            <w:r/>
            <w:r>
              <w:rPr>
                <w:rFonts w:ascii="宋体" w:hAnsi="宋体" w:eastAsia="宋体"/>
                <w:b w:val="0"/>
                <w:sz w:val="19"/>
              </w:rPr>
              <w:t>0.6435</w:t>
            </w:r>
          </w:p>
        </w:tc>
        <w:tc>
          <w:tcPr>
            <w:tcW w:type="dxa" w:w="1247"/>
          </w:tcPr>
          <w:p>
            <w:pPr>
              <w:jc w:val="center"/>
            </w:pPr>
            <w:r/>
            <w:r>
              <w:rPr>
                <w:rFonts w:ascii="宋体" w:hAnsi="宋体" w:eastAsia="宋体"/>
                <w:b w:val="0"/>
                <w:sz w:val="19"/>
              </w:rPr>
              <w:t>0.4666</w:t>
            </w:r>
          </w:p>
        </w:tc>
        <w:tc>
          <w:tcPr>
            <w:tcW w:type="dxa" w:w="1247"/>
          </w:tcPr>
          <w:p>
            <w:pPr>
              <w:jc w:val="center"/>
            </w:pPr>
            <w:r/>
            <w:r>
              <w:rPr>
                <w:rFonts w:ascii="宋体" w:hAnsi="宋体" w:eastAsia="宋体"/>
                <w:b w:val="0"/>
                <w:sz w:val="19"/>
              </w:rPr>
              <w:t>0.4169</w:t>
            </w:r>
          </w:p>
        </w:tc>
        <w:tc>
          <w:tcPr>
            <w:tcW w:type="dxa" w:w="1247"/>
          </w:tcPr>
          <w:p>
            <w:pPr>
              <w:jc w:val="center"/>
            </w:pPr>
            <w:r/>
            <w:r>
              <w:rPr>
                <w:rFonts w:ascii="宋体" w:hAnsi="宋体" w:eastAsia="宋体"/>
                <w:b w:val="0"/>
                <w:sz w:val="19"/>
              </w:rPr>
              <w:t>0.1680</w:t>
            </w:r>
          </w:p>
        </w:tc>
      </w:tr>
      <w:tr>
        <w:tc>
          <w:tcPr>
            <w:tcW w:type="dxa" w:w="2608"/>
          </w:tcPr>
          <w:p>
            <w:pPr/>
            <w:r/>
            <w:r>
              <w:rPr>
                <w:rFonts w:ascii="宋体" w:hAnsi="宋体" w:eastAsia="宋体"/>
                <w:b w:val="0"/>
                <w:sz w:val="19"/>
              </w:rPr>
              <w:t>随机排序基线</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0.3446</w:t>
            </w:r>
          </w:p>
        </w:tc>
        <w:tc>
          <w:tcPr>
            <w:tcW w:type="dxa" w:w="1247"/>
          </w:tcPr>
          <w:p>
            <w:pPr>
              <w:jc w:val="center"/>
            </w:pPr>
            <w:r/>
            <w:r>
              <w:rPr>
                <w:rFonts w:ascii="宋体" w:hAnsi="宋体" w:eastAsia="宋体"/>
                <w:b w:val="0"/>
                <w:sz w:val="19"/>
              </w:rPr>
              <w:t>—</w:t>
            </w:r>
          </w:p>
        </w:tc>
      </w:tr>
      <w:tr>
        <w:tc>
          <w:tcPr>
            <w:tcW w:type="dxa" w:w="2608"/>
          </w:tcPr>
          <w:p>
            <w:pPr/>
            <w:r/>
            <w:r>
              <w:rPr>
                <w:rFonts w:ascii="宋体" w:hAnsi="宋体" w:eastAsia="宋体"/>
                <w:b w:val="0"/>
                <w:sz w:val="19"/>
              </w:rPr>
              <w:t>无预筛选</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0.3521</w:t>
            </w:r>
          </w:p>
        </w:tc>
        <w:tc>
          <w:tcPr>
            <w:tcW w:type="dxa" w:w="1247"/>
          </w:tcPr>
          <w:p>
            <w:pPr>
              <w:jc w:val="center"/>
            </w:pPr>
            <w:r/>
            <w:r>
              <w:rPr>
                <w:rFonts w:ascii="宋体" w:hAnsi="宋体" w:eastAsia="宋体"/>
                <w:b w:val="0"/>
                <w:sz w:val="19"/>
              </w:rPr>
              <w:t>1.0000</w:t>
            </w:r>
          </w:p>
        </w:tc>
      </w:tr>
    </w:tbl>
    <w:p>
      <w:pPr>
        <w:ind w:firstLine="420"/>
      </w:pPr>
      <w:r>
        <w:rPr>
          <w:rFonts w:ascii="宋体" w:hAnsi="宋体" w:eastAsia="宋体"/>
          <w:b w:val="0"/>
          <w:sz w:val="21"/>
        </w:rPr>
        <w:t>由表12可见，模型质量最好的配置是“数值+策略+代码”，AUC 为 0.6435；但从预算效率看，“仅数值特征”配置取得最高的 Precision@13，为 0.4723。相对于随机排序基线的 0.3446，提升约 37.0%；相对于不做预筛选的 0.3521，提升约 34.1%。本文因此选择“仅数值特征”的逻辑回归作为最终模型：它在有限样本下更稳健，且实现与部署成本最低。</w:t>
      </w:r>
    </w:p>
    <w:p>
      <w:pPr>
        <w:ind w:firstLine="420"/>
      </w:pPr>
      <w:r>
        <w:rPr>
          <w:rFonts w:ascii="宋体" w:hAnsi="宋体" w:eastAsia="宋体"/>
          <w:b w:val="0"/>
          <w:sz w:val="21"/>
        </w:rPr>
        <w:t>需要指出的是，本次增强特征的尝试并未带来提升。加入候选代码文本后 AUC 略有提高，但 Precision@13 下降；加入父代历史成功率与代码结构计数后，AUC 与Precision@13 均出现下降。这说明在 4626 条样本的规模下，新增特征带来的估计方差大于其提供的信息量，模型能力主要受样本规模限制，而非特征维度限制。</w:t>
      </w:r>
    </w:p>
    <w:p>
      <w:pPr>
        <w:ind w:firstLine="420"/>
      </w:pPr>
      <w:r>
        <w:rPr>
          <w:rFonts w:ascii="宋体" w:hAnsi="宋体" w:eastAsia="宋体"/>
          <w:b w:val="0"/>
          <w:sz w:val="21"/>
        </w:rPr>
        <w:t>按操作类型进一步分析可知，模型的判别能力主要集中在变异与交叉候选上：变异候选的 AUC 为 0.6793，交叉候选为 0.5953；而第 0 代初始候选的 AUC 仅为 0.5283 与 0.4738，接近随机。原因是变异与交叉候选具有父代延迟作为明确参照，而第 0 代候选是相对初始种子评估，缺少稳定参照。因此本文在集成时只对变异与交叉阶段启用预筛选，第 0 代候选仍全部送交真机评测。</w:t>
      </w:r>
    </w:p>
    <w:p>
      <w:pPr>
        <w:ind w:firstLine="420"/>
      </w:pPr>
      <w:r>
        <w:rPr>
          <w:rFonts w:ascii="宋体" w:hAnsi="宋体" w:eastAsia="宋体"/>
          <w:b w:val="0"/>
          <w:sz w:val="21"/>
        </w:rPr>
        <w:t>最后需要说明，本节只完成离线验证。表11中“预筛选”一行的精确率、召回率与 GM(S) 需要在将模型接入搜索后通过真机实验获得；受实验设备可用性限制，该在线实验尚未完成，因此表11相应单元格保留为空，不作为已验证结论。</w:t>
      </w:r>
    </w:p>
    <w:p>
      <w:pPr>
        <w:ind w:firstLine="420"/>
      </w:pPr>
      <w:r>
        <w:rPr>
          <w:rFonts w:ascii="宋体" w:hAnsi="宋体" w:eastAsia="宋体"/>
          <w:b w:val="0"/>
          <w:sz w:val="21"/>
        </w:rPr>
        <w:t>注：预筛选一行的精确率与召回率为离线评估结果，即按算子分组交叉验证下取模型排序前 13 个候选时的统计值；GM(S) 需要在模型接入搜索后由真机实验测得，受设备可用性限制尚未完成，故保留为空。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