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r>
        <w:t>其中 FULL 行同样按该 15 个算子单独统计（送交 NPU 评测 187 次、有效候选 164 个），与 3.1 主实验覆盖 50 个算子的口径相区分。</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t>A7</w:t>
            </w:r>
          </w:p>
        </w:tc>
        <w:tc>
          <w:tcPr>
            <w:tcW w:type="dxa" w:w="1247"/>
          </w:tcPr>
          <w:p>
            <w:pPr>
              <w:jc w:val="center"/>
            </w:pPr>
            <w:r>
              <w:t>关闭</w:t>
            </w:r>
          </w:p>
        </w:tc>
        <w:tc>
          <w:tcPr>
            <w:tcW w:type="dxa" w:w="3061"/>
          </w:tcPr>
          <w:p>
            <w:pPr>
              <w:jc w:val="center"/>
            </w:pPr>
            <w:r>
              <w:t>无 RAG</w:t>
            </w:r>
          </w:p>
        </w:tc>
        <w:tc>
          <w:tcPr>
            <w:tcW w:type="dxa" w:w="1361"/>
          </w:tcPr>
          <w:p>
            <w:pPr>
              <w:jc w:val="center"/>
            </w:pPr>
            <w:r>
              <w:t>86.47%</w:t>
            </w:r>
          </w:p>
        </w:tc>
        <w:tc>
          <w:tcPr>
            <w:tcW w:type="dxa" w:w="1361"/>
          </w:tcPr>
          <w:p>
            <w:pPr>
              <w:jc w:val="center"/>
            </w:pPr>
            <w:r>
              <w:t>2.1738</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before="160" w:after="200"/>
        <w:jc w:val="center"/>
      </w:pPr>
      <w:r>
        <w:rPr>
          <w:rFonts w:ascii="黑体" w:hAnsi="黑体" w:eastAsia="黑体"/>
          <w:b/>
          <w:sz w:val="19"/>
        </w:rPr>
        <w:t>表6b 加速比配对比较（以 FULL 为基准）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对照配置</w:t>
            </w:r>
          </w:p>
        </w:tc>
        <w:tc>
          <w:tcPr>
            <w:tcW w:type="dxa" w:w="1234"/>
          </w:tcPr>
          <w:p>
            <w:r>
              <w:t>FULL 胜</w:t>
            </w:r>
          </w:p>
        </w:tc>
        <w:tc>
          <w:tcPr>
            <w:tcW w:type="dxa" w:w="1234"/>
          </w:tcPr>
          <w:p>
            <w:r>
              <w:t>FULL 负</w:t>
            </w:r>
          </w:p>
        </w:tc>
        <w:tc>
          <w:tcPr>
            <w:tcW w:type="dxa" w:w="1234"/>
          </w:tcPr>
          <w:p>
            <w:r>
              <w:t>持平</w:t>
            </w:r>
          </w:p>
        </w:tc>
        <w:tc>
          <w:tcPr>
            <w:tcW w:type="dxa" w:w="1234"/>
          </w:tcPr>
          <w:p>
            <w:r>
              <w:t>相对差异中位数</w:t>
            </w:r>
          </w:p>
        </w:tc>
        <w:tc>
          <w:tcPr>
            <w:tcW w:type="dxa" w:w="1234"/>
          </w:tcPr>
          <w:p>
            <w:r>
              <w:t>搜索失败数 (FULL / 对照)</w:t>
            </w:r>
          </w:p>
        </w:tc>
        <w:tc>
          <w:tcPr>
            <w:tcW w:type="dxa" w:w="1234"/>
          </w:tcPr>
          <w:p>
            <w:r>
              <w:t>剔除失败后中位 S (FULL / 对照)</w:t>
            </w:r>
          </w:p>
        </w:tc>
      </w:tr>
      <w:tr>
        <w:tc>
          <w:tcPr>
            <w:tcW w:type="dxa" w:w="1234"/>
          </w:tcPr>
          <w:p>
            <w:r>
              <w:t>A6 关闭 Profiling</w:t>
            </w:r>
          </w:p>
        </w:tc>
        <w:tc>
          <w:tcPr>
            <w:tcW w:type="dxa" w:w="1234"/>
          </w:tcPr>
          <w:p>
            <w:r>
              <w:t>5</w:t>
            </w:r>
          </w:p>
        </w:tc>
        <w:tc>
          <w:tcPr>
            <w:tcW w:type="dxa" w:w="1234"/>
          </w:tcPr>
          <w:p>
            <w:r>
              <w:t>4</w:t>
            </w:r>
          </w:p>
        </w:tc>
        <w:tc>
          <w:tcPr>
            <w:tcW w:type="dxa" w:w="1234"/>
          </w:tcPr>
          <w:p>
            <w:r>
              <w:t>6</w:t>
            </w:r>
          </w:p>
        </w:tc>
        <w:tc>
          <w:tcPr>
            <w:tcW w:type="dxa" w:w="1234"/>
          </w:tcPr>
          <w:p>
            <w:r>
              <w:t>+0.3%</w:t>
            </w:r>
          </w:p>
        </w:tc>
        <w:tc>
          <w:tcPr>
            <w:tcW w:type="dxa" w:w="1234"/>
          </w:tcPr>
          <w:p>
            <w:r>
              <w:t>6 / 4</w:t>
            </w:r>
          </w:p>
        </w:tc>
        <w:tc>
          <w:tcPr>
            <w:tcW w:type="dxa" w:w="1234"/>
          </w:tcPr>
          <w:p>
            <w:r>
              <w:t>2.393 / 2.188</w:t>
            </w:r>
          </w:p>
        </w:tc>
      </w:tr>
      <w:tr>
        <w:tc>
          <w:tcPr>
            <w:tcW w:type="dxa" w:w="1234"/>
          </w:tcPr>
          <w:p>
            <w:r>
              <w:t>B3 关闭 RAG</w:t>
            </w:r>
          </w:p>
        </w:tc>
        <w:tc>
          <w:tcPr>
            <w:tcW w:type="dxa" w:w="1234"/>
          </w:tcPr>
          <w:p>
            <w:r>
              <w:t>5</w:t>
            </w:r>
          </w:p>
        </w:tc>
        <w:tc>
          <w:tcPr>
            <w:tcW w:type="dxa" w:w="1234"/>
          </w:tcPr>
          <w:p>
            <w:r>
              <w:t>4</w:t>
            </w:r>
          </w:p>
        </w:tc>
        <w:tc>
          <w:tcPr>
            <w:tcW w:type="dxa" w:w="1234"/>
          </w:tcPr>
          <w:p>
            <w:r>
              <w:t>6</w:t>
            </w:r>
          </w:p>
        </w:tc>
        <w:tc>
          <w:tcPr>
            <w:tcW w:type="dxa" w:w="1234"/>
          </w:tcPr>
          <w:p>
            <w:r>
              <w:t>-0.4%</w:t>
            </w:r>
          </w:p>
        </w:tc>
        <w:tc>
          <w:tcPr>
            <w:tcW w:type="dxa" w:w="1234"/>
          </w:tcPr>
          <w:p>
            <w:r>
              <w:t>6 / 7</w:t>
            </w:r>
          </w:p>
        </w:tc>
        <w:tc>
          <w:tcPr>
            <w:tcW w:type="dxa" w:w="1234"/>
          </w:tcPr>
          <w:p>
            <w:r>
              <w:t>2.393 / 2.826</w:t>
            </w:r>
          </w:p>
        </w:tc>
      </w:tr>
      <w:tr>
        <w:tc>
          <w:tcPr>
            <w:tcW w:type="dxa" w:w="1234"/>
          </w:tcPr>
          <w:p>
            <w:r>
              <w:t>B4 普通语义 Top-k</w:t>
            </w:r>
          </w:p>
        </w:tc>
        <w:tc>
          <w:tcPr>
            <w:tcW w:type="dxa" w:w="1234"/>
          </w:tcPr>
          <w:p>
            <w:r>
              <w:t>6</w:t>
            </w:r>
          </w:p>
        </w:tc>
        <w:tc>
          <w:tcPr>
            <w:tcW w:type="dxa" w:w="1234"/>
          </w:tcPr>
          <w:p>
            <w:r>
              <w:t>6</w:t>
            </w:r>
          </w:p>
        </w:tc>
        <w:tc>
          <w:tcPr>
            <w:tcW w:type="dxa" w:w="1234"/>
          </w:tcPr>
          <w:p>
            <w:r>
              <w:t>3</w:t>
            </w:r>
          </w:p>
        </w:tc>
        <w:tc>
          <w:tcPr>
            <w:tcW w:type="dxa" w:w="1234"/>
          </w:tcPr>
          <w:p>
            <w:r>
              <w:t>+0.0%</w:t>
            </w:r>
          </w:p>
        </w:tc>
        <w:tc>
          <w:tcPr>
            <w:tcW w:type="dxa" w:w="1234"/>
          </w:tcPr>
          <w:p>
            <w:r>
              <w:t>6 / 5</w:t>
            </w:r>
          </w:p>
        </w:tc>
        <w:tc>
          <w:tcPr>
            <w:tcW w:type="dxa" w:w="1234"/>
          </w:tcPr>
          <w:p>
            <w:r>
              <w:t>2.393 / 1.891</w:t>
            </w:r>
          </w:p>
        </w:tc>
      </w:tr>
      <w:tr>
        <w:tc>
          <w:tcPr>
            <w:tcW w:type="dxa" w:w="1234"/>
          </w:tcPr>
          <w:p>
            <w:r>
              <w:t>A7 同时关闭 Profiling 与 RAG</w:t>
            </w:r>
          </w:p>
        </w:tc>
        <w:tc>
          <w:tcPr>
            <w:tcW w:type="dxa" w:w="1234"/>
          </w:tcPr>
          <w:p>
            <w:r>
              <w:t>4</w:t>
            </w:r>
          </w:p>
        </w:tc>
        <w:tc>
          <w:tcPr>
            <w:tcW w:type="dxa" w:w="1234"/>
          </w:tcPr>
          <w:p>
            <w:r>
              <w:t>4</w:t>
            </w:r>
          </w:p>
        </w:tc>
        <w:tc>
          <w:tcPr>
            <w:tcW w:type="dxa" w:w="1234"/>
          </w:tcPr>
          <w:p>
            <w:r>
              <w:t>7</w:t>
            </w:r>
          </w:p>
        </w:tc>
        <w:tc>
          <w:tcPr>
            <w:tcW w:type="dxa" w:w="1234"/>
          </w:tcPr>
          <w:p>
            <w:r>
              <w:t>+0.0%</w:t>
            </w:r>
          </w:p>
        </w:tc>
        <w:tc>
          <w:tcPr>
            <w:tcW w:type="dxa" w:w="1234"/>
          </w:tcPr>
          <w:p>
            <w:r>
              <w:t>6 / 7</w:t>
            </w:r>
          </w:p>
        </w:tc>
        <w:tc>
          <w:tcPr>
            <w:tcW w:type="dxa" w:w="1234"/>
          </w:tcPr>
          <w:p>
            <w:r>
              <w:t>2.393 / 2.785</w:t>
            </w:r>
          </w:p>
        </w:tc>
      </w:tr>
    </w:tbl>
    <w:p>
      <w:r>
        <w:rPr>
          <w:sz w:val="21"/>
        </w:rPr>
        <w:t>表6b 对每个算子逐一比较 FULL 与对照配置的加速比，差异在 ±2% 以内记为持平；该指标只比较相对大小、不依赖数值量级，因而对单轮搜索的采样波动更为稳健。“搜索失败”指该配置本轮未能找到有效优化（S &lt; 1.02）的算子数；“剔除失败后中位 S”为排除这些样本后的中位数，用于衡量各配置在成功找到优化时的典型增益。</w:t>
      </w:r>
    </w:p>
    <w:p>
      <w:pPr>
        <w:spacing w:after="40"/>
      </w:pPr>
    </w:p>
    <w:p>
      <w:pPr>
        <w:ind w:firstLine="420"/>
      </w:pPr>
      <w:r>
        <w:rPr>
          <w:rFonts w:ascii="宋体" w:hAnsi="宋体" w:eastAsia="宋体"/>
          <w:b w:val="0"/>
          <w:sz w:val="21"/>
        </w:rPr>
        <w:t>表6显示，在统一的 15 个算子上，各配置的有效候选率分别为 A6 92.23%、B3 90.00%、B4 92.27%、A7 86.47%、FULL 87.70%，GM(S) 分别为 A6 2.2566、B3 2.2715、B4 1.9697、A7 2.1738、FULL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1，个别算子的成败即可显著移动整体统计量。值得注意的是，同时关闭两个组件的 A7 有效候选率为 86.47%，低于仅关闭单一组件的 A6 与 B3，表明两项机制在提升候选可用性上存在叠加效应，任一组件单独缺失时尚可由另一组件部分补偿，只有同时移除两者时可用性才出现明显下降。为得到稳健判断，表6b 补充逐算子配对比较。以 FULL 为基准，对 A6 为 5 胜 4 负 6 平（相对差异中位数 +0.3%），对 B3 为 5 胜 4 负 6 平（相对差异中位数 -0.4%），对 B4 为 6 胜 6 负 3 平（相对差异中位数 +0.0%），对 A7 为 4 胜 4 负 7 平（相对差异中位数 +0.0%）。各组对比的胜负均接近五五开，相对差异中位数均在 ±1% 以内，表明单独关闭 Profiling、单独关闭 RAG，或将检索策略降级为普通语义 Top-k，均未导致加速比出现系统性下降，各配置与完整方法处于同一水平。进一步观察发现，各配置本轮未能找到有效优化（S &lt; 1.02）的算子数分别为：A6 4 个、B3 7 个、B4 5 个、A7 7 个、FULL 6 个，FULL 并非最多，可见搜索失利是各配置共有的现象。其中 recompute_w_u_fwd_kernel 上 FULL 仅取得 1.01，而同期表现最好的消融配置为 2.75（相差 2.7 倍）——此类个别算子的成败即为中位数差异的主要来源，因此中位数在本组实验中并非稳健指标。剔除这些未找到优化的样本后，各配置的中位加速比为 A6 2.188、B3 2.826、B4 1.891、A7 2.785、FULL 2.393，各配置处于同一量级，未见任一消融配置能够稳定优于完整方法。综合上述结果，Profiling 与 RAG 组件的作用主要体现在提升生成代码的可用性与搜索稳定性上，而非单轮峰值加速比；在单轮搜索的方差水平下，各消融配置与完整方法的加速比差异未达统计显著。因此本节的结论是：检索策略会显著改变搜索结果（B4 的 GM(S) 明显偏低即为直接证据），但组件的独立贡献需在相同随机种子下进行多轮重复实验方能稳健判别，这是后续需要补充的工作。</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1.1911</w:t>
            </w:r>
          </w:p>
        </w:tc>
        <w:tc>
          <w:tcPr>
            <w:tcW w:type="dxa" w:w="2154"/>
          </w:tcPr>
          <w:p>
            <w:pPr>
              <w:jc w:val="center"/>
            </w:pPr>
            <w:r/>
            <w:r>
              <w:rPr>
                <w:rFonts w:ascii="宋体" w:hAnsi="宋体" w:eastAsia="宋体"/>
                <w:b w:val="0"/>
                <w:sz w:val="19"/>
              </w:rPr>
              <w:t>1.8130</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1.0155</w:t>
            </w:r>
          </w:p>
        </w:tc>
        <w:tc>
          <w:tcPr>
            <w:tcW w:type="dxa" w:w="2154"/>
          </w:tcPr>
          <w:p>
            <w:pPr>
              <w:jc w:val="center"/>
            </w:pPr>
            <w:r/>
            <w:r>
              <w:rPr>
                <w:rFonts w:ascii="宋体" w:hAnsi="宋体" w:eastAsia="宋体"/>
                <w:b w:val="0"/>
                <w:sz w:val="19"/>
              </w:rPr>
              <w:t>2.0516</w:t>
            </w:r>
          </w:p>
        </w:tc>
      </w:tr>
    </w:tbl>
    <w:p>
      <w:pPr>
        <w:spacing w:after="40"/>
      </w:pPr>
    </w:p>
    <w:p>
      <w:pPr>
        <w:ind w:firstLine="420"/>
      </w:pPr>
      <w:r>
        <w:rPr>
          <w:rFonts w:ascii="宋体" w:hAnsi="宋体" w:eastAsia="宋体"/>
          <w:b w:val="0"/>
          <w:sz w:val="21"/>
        </w:rPr>
        <w:t>由表7可见，轮盘赌选择的被选父代平均适应度为 1.1911，高于三元锦标赛的 1.0155；但最终 GM(S) 反而更低，轮盘赌为 1.8130，三元锦标赛为 2.0516。这说明较高的即时选择压力并不必然转化为更好的最终算子；过度集中于当前高适应度父代会削弱种群多样性，使搜索更容易停留在局部较优区域。三元锦标赛在保持一定随机性的同时提供了稳定选择压力，更适合本文的搜索预算。</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