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表6 Profiling 与知识库检索策略消融实验结果</w:t>
      </w:r>
    </w:p>
    <w:p>
      <w:r>
        <w:rPr>
          <w:sz w:val="18"/>
        </w:rPr>
        <w:t>实验设置：在完整方法基础上逐项关闭或替换关键组件，观察各组件对搜索效率与最终加速比的贡献。a6 关闭 Profiling 诊断反馈，b3 关闭 RAG 知识库检索，b4 将 RAG 的检索策略由混合重排降级为普通语义 Top-k，full 为完整方法。有效候选率定义为：完成编译与功能验证、并取得有效延迟的候选数占送交 NPU 评测候选数的比例；该指标反映各组件对 LLM 生成代码可用性的影响。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配置</w:t>
            </w:r>
          </w:p>
        </w:tc>
        <w:tc>
          <w:tcPr>
            <w:tcW w:type="dxa" w:w="1080"/>
          </w:tcPr>
          <w:p>
            <w:r>
              <w:t>组件改动</w:t>
            </w:r>
          </w:p>
        </w:tc>
        <w:tc>
          <w:tcPr>
            <w:tcW w:type="dxa" w:w="1080"/>
          </w:tcPr>
          <w:p>
            <w:r>
              <w:t>送评测数</w:t>
            </w:r>
          </w:p>
        </w:tc>
        <w:tc>
          <w:tcPr>
            <w:tcW w:type="dxa" w:w="1080"/>
          </w:tcPr>
          <w:p>
            <w:r>
              <w:t>有效候选数</w:t>
            </w:r>
          </w:p>
        </w:tc>
        <w:tc>
          <w:tcPr>
            <w:tcW w:type="dxa" w:w="1080"/>
          </w:tcPr>
          <w:p>
            <w:r>
              <w:t>AST 拒绝</w:t>
            </w:r>
          </w:p>
        </w:tc>
        <w:tc>
          <w:tcPr>
            <w:tcW w:type="dxa" w:w="1080"/>
          </w:tcPr>
          <w:p>
            <w:r>
              <w:t>有效候选率</w:t>
            </w:r>
          </w:p>
        </w:tc>
        <w:tc>
          <w:tcPr>
            <w:tcW w:type="dxa" w:w="1080"/>
          </w:tcPr>
          <w:p>
            <w:r>
              <w:t>GM(S)</w:t>
            </w:r>
          </w:p>
        </w:tc>
        <w:tc>
          <w:tcPr>
            <w:tcW w:type="dxa" w:w="1080"/>
          </w:tcPr>
          <w:p>
            <w:r>
              <w:t>Kernel 数</w:t>
            </w:r>
          </w:p>
        </w:tc>
      </w:tr>
      <w:tr>
        <w:tc>
          <w:tcPr>
            <w:tcW w:type="dxa" w:w="1080"/>
          </w:tcPr>
          <w:p>
            <w:r>
              <w:t>a6</w:t>
            </w:r>
          </w:p>
        </w:tc>
        <w:tc>
          <w:tcPr>
            <w:tcW w:type="dxa" w:w="1080"/>
          </w:tcPr>
          <w:p>
            <w:r>
              <w:t>关闭 Profiling 反馈</w:t>
            </w:r>
          </w:p>
        </w:tc>
        <w:tc>
          <w:tcPr>
            <w:tcW w:type="dxa" w:w="1080"/>
          </w:tcPr>
          <w:p>
            <w:r>
              <w:t>193</w:t>
            </w:r>
          </w:p>
        </w:tc>
        <w:tc>
          <w:tcPr>
            <w:tcW w:type="dxa" w:w="1080"/>
          </w:tcPr>
          <w:p>
            <w:r>
              <w:t>178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92.23%</w:t>
            </w:r>
          </w:p>
        </w:tc>
        <w:tc>
          <w:tcPr>
            <w:tcW w:type="dxa" w:w="1080"/>
          </w:tcPr>
          <w:p>
            <w:r>
              <w:t>2.2566</w:t>
            </w:r>
          </w:p>
        </w:tc>
        <w:tc>
          <w:tcPr>
            <w:tcW w:type="dxa" w:w="1080"/>
          </w:tcPr>
          <w:p>
            <w:r>
              <w:t>15</w:t>
            </w:r>
          </w:p>
        </w:tc>
      </w:tr>
      <w:tr>
        <w:tc>
          <w:tcPr>
            <w:tcW w:type="dxa" w:w="1080"/>
          </w:tcPr>
          <w:p>
            <w:r>
              <w:t>b3</w:t>
            </w:r>
          </w:p>
        </w:tc>
        <w:tc>
          <w:tcPr>
            <w:tcW w:type="dxa" w:w="1080"/>
          </w:tcPr>
          <w:p>
            <w:r>
              <w:t>关闭 RAG 知识库检索</w:t>
            </w:r>
          </w:p>
        </w:tc>
        <w:tc>
          <w:tcPr>
            <w:tcW w:type="dxa" w:w="1080"/>
          </w:tcPr>
          <w:p>
            <w:r>
              <w:t>190</w:t>
            </w:r>
          </w:p>
        </w:tc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90.00%</w:t>
            </w:r>
          </w:p>
        </w:tc>
        <w:tc>
          <w:tcPr>
            <w:tcW w:type="dxa" w:w="1080"/>
          </w:tcPr>
          <w:p>
            <w:r>
              <w:t>2.2715</w:t>
            </w:r>
          </w:p>
        </w:tc>
        <w:tc>
          <w:tcPr>
            <w:tcW w:type="dxa" w:w="1080"/>
          </w:tcPr>
          <w:p>
            <w:r>
              <w:t>15</w:t>
            </w:r>
          </w:p>
        </w:tc>
      </w:tr>
      <w:tr>
        <w:tc>
          <w:tcPr>
            <w:tcW w:type="dxa" w:w="1080"/>
          </w:tcPr>
          <w:p>
            <w:r>
              <w:t>b4</w:t>
            </w:r>
          </w:p>
        </w:tc>
        <w:tc>
          <w:tcPr>
            <w:tcW w:type="dxa" w:w="1080"/>
          </w:tcPr>
          <w:p>
            <w:r>
              <w:t>RAG 改为普通语义 Top-k 检索</w:t>
            </w:r>
          </w:p>
        </w:tc>
        <w:tc>
          <w:tcPr>
            <w:tcW w:type="dxa" w:w="1080"/>
          </w:tcPr>
          <w:p>
            <w:r>
              <w:t>194</w:t>
            </w:r>
          </w:p>
        </w:tc>
        <w:tc>
          <w:tcPr>
            <w:tcW w:type="dxa" w:w="1080"/>
          </w:tcPr>
          <w:p>
            <w:r>
              <w:t>179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92.27%</w:t>
            </w:r>
          </w:p>
        </w:tc>
        <w:tc>
          <w:tcPr>
            <w:tcW w:type="dxa" w:w="1080"/>
          </w:tcPr>
          <w:p>
            <w:r>
              <w:t>1.9697</w:t>
            </w:r>
          </w:p>
        </w:tc>
        <w:tc>
          <w:tcPr>
            <w:tcW w:type="dxa" w:w="1080"/>
          </w:tcPr>
          <w:p>
            <w:r>
              <w:t>15</w:t>
            </w:r>
          </w:p>
        </w:tc>
      </w:tr>
      <w:tr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完整方法（Profiling + RAG 混合重排 + Guard）</w:t>
            </w:r>
          </w:p>
        </w:tc>
        <w:tc>
          <w:tcPr>
            <w:tcW w:type="dxa" w:w="1080"/>
          </w:tcPr>
          <w:p>
            <w:r>
              <w:t>682</w:t>
            </w:r>
          </w:p>
        </w:tc>
        <w:tc>
          <w:tcPr>
            <w:tcW w:type="dxa" w:w="1080"/>
          </w:tcPr>
          <w:p>
            <w:r>
              <w:t>593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86.95%</w:t>
            </w:r>
          </w:p>
        </w:tc>
        <w:tc>
          <w:tcPr>
            <w:tcW w:type="dxa" w:w="1080"/>
          </w:tcPr>
          <w:p>
            <w:r>
              <w:t>1.6808</w:t>
            </w:r>
          </w:p>
        </w:tc>
        <w:tc>
          <w:tcPr>
            <w:tcW w:type="dxa" w:w="1080"/>
          </w:tcPr>
          <w:p>
            <w:r>
              <w:t>50</w:t>
            </w:r>
          </w:p>
        </w:tc>
      </w:tr>
      <w:tr>
        <w:tc>
          <w:tcPr>
            <w:tcW w:type="dxa" w:w="1080"/>
          </w:tcPr>
          <w:p>
            <w:r>
              <w:t>full*</w:t>
            </w:r>
          </w:p>
        </w:tc>
        <w:tc>
          <w:tcPr>
            <w:tcW w:type="dxa" w:w="1080"/>
          </w:tcPr>
          <w:p>
            <w:r>
              <w:t>完整方法（按消融同批 15 个 Kernel 重算）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2.1550</w:t>
            </w:r>
          </w:p>
        </w:tc>
        <w:tc>
          <w:tcPr>
            <w:tcW w:type="dxa" w:w="1080"/>
          </w:tcPr>
          <w:p>
            <w:r>
              <w:t>15</w:t>
            </w:r>
          </w:p>
        </w:tc>
      </w:tr>
    </w:tbl>
    <w:p/>
    <w:p>
      <w:pPr>
        <w:pStyle w:val="Heading3"/>
      </w:pPr>
      <w:r>
        <w:t>表6b 加速比配对比较（以 full 为基准）</w:t>
      </w:r>
    </w:p>
    <w:p>
      <w:r>
        <w:rPr>
          <w:sz w:val="18"/>
        </w:rPr>
        <w:t>GM(S) 与中位数易受个别极端算子主导，故此处补充逐算子配对比较：对每个 Kernel 直接比较 full 与对照配置的加速比，差异在 ±2% 以内记为持平。该指标只比较相对大小、不依赖数值量级，对单轮搜索的采样波动更为稳健。“搜索失败”指该配置本轮未能找到有效优化（S &lt; 1.02）的 Kernel 数；“剔除失败后中位 S”为排除这些样本后的中位数，用于衡量各配置在成功找到优化时的典型增益。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对照配置</w:t>
            </w:r>
          </w:p>
        </w:tc>
        <w:tc>
          <w:tcPr>
            <w:tcW w:type="dxa" w:w="1234"/>
          </w:tcPr>
          <w:p>
            <w:r>
              <w:t>full 胜</w:t>
            </w:r>
          </w:p>
        </w:tc>
        <w:tc>
          <w:tcPr>
            <w:tcW w:type="dxa" w:w="1234"/>
          </w:tcPr>
          <w:p>
            <w:r>
              <w:t>full 负</w:t>
            </w:r>
          </w:p>
        </w:tc>
        <w:tc>
          <w:tcPr>
            <w:tcW w:type="dxa" w:w="1234"/>
          </w:tcPr>
          <w:p>
            <w:r>
              <w:t>持平</w:t>
            </w:r>
          </w:p>
        </w:tc>
        <w:tc>
          <w:tcPr>
            <w:tcW w:type="dxa" w:w="1234"/>
          </w:tcPr>
          <w:p>
            <w:r>
              <w:t>相对差异中位数</w:t>
            </w:r>
          </w:p>
        </w:tc>
        <w:tc>
          <w:tcPr>
            <w:tcW w:type="dxa" w:w="1234"/>
          </w:tcPr>
          <w:p>
            <w:r>
              <w:t>搜索失败数 (full / 对照)</w:t>
            </w:r>
          </w:p>
        </w:tc>
        <w:tc>
          <w:tcPr>
            <w:tcW w:type="dxa" w:w="1234"/>
          </w:tcPr>
          <w:p>
            <w:r>
              <w:t>剔除失败后中位 S (full / 对照)</w:t>
            </w:r>
          </w:p>
        </w:tc>
      </w:tr>
      <w:tr>
        <w:tc>
          <w:tcPr>
            <w:tcW w:type="dxa" w:w="1234"/>
          </w:tcPr>
          <w:p>
            <w:r>
              <w:t>a6 关闭 Profiling 反馈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+0.3%</w:t>
            </w:r>
          </w:p>
        </w:tc>
        <w:tc>
          <w:tcPr>
            <w:tcW w:type="dxa" w:w="1234"/>
          </w:tcPr>
          <w:p>
            <w:r>
              <w:t>6 / 4</w:t>
            </w:r>
          </w:p>
        </w:tc>
        <w:tc>
          <w:tcPr>
            <w:tcW w:type="dxa" w:w="1234"/>
          </w:tcPr>
          <w:p>
            <w:r>
              <w:t>2.393 / 2.188</w:t>
            </w:r>
          </w:p>
        </w:tc>
      </w:tr>
      <w:tr>
        <w:tc>
          <w:tcPr>
            <w:tcW w:type="dxa" w:w="1234"/>
          </w:tcPr>
          <w:p>
            <w:r>
              <w:t>b3 关闭 RAG 知识库检索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-0.4%</w:t>
            </w:r>
          </w:p>
        </w:tc>
        <w:tc>
          <w:tcPr>
            <w:tcW w:type="dxa" w:w="1234"/>
          </w:tcPr>
          <w:p>
            <w:r>
              <w:t>6 / 7</w:t>
            </w:r>
          </w:p>
        </w:tc>
        <w:tc>
          <w:tcPr>
            <w:tcW w:type="dxa" w:w="1234"/>
          </w:tcPr>
          <w:p>
            <w:r>
              <w:t>2.393 / 2.826</w:t>
            </w:r>
          </w:p>
        </w:tc>
      </w:tr>
      <w:tr>
        <w:tc>
          <w:tcPr>
            <w:tcW w:type="dxa" w:w="1234"/>
          </w:tcPr>
          <w:p>
            <w:r>
              <w:t>b4 RAG 改为普通语义 Top-k 检索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+0.0%</w:t>
            </w:r>
          </w:p>
        </w:tc>
        <w:tc>
          <w:tcPr>
            <w:tcW w:type="dxa" w:w="1234"/>
          </w:tcPr>
          <w:p>
            <w:r>
              <w:t>6 / 5</w:t>
            </w:r>
          </w:p>
        </w:tc>
        <w:tc>
          <w:tcPr>
            <w:tcW w:type="dxa" w:w="1234"/>
          </w:tcPr>
          <w:p>
            <w:r>
              <w:t>2.393 / 1.891</w:t>
            </w:r>
          </w:p>
        </w:tc>
      </w:tr>
    </w:tbl>
    <w:p>
      <w:pPr>
        <w:pStyle w:val="Heading3"/>
      </w:pPr>
      <w:r>
        <w:t>结果分析</w:t>
      </w:r>
    </w:p>
    <w:p>
      <w:r>
        <w:rPr>
          <w:sz w:val="20"/>
        </w:rPr>
        <w:t>（1）在三个消融配置中，关闭 RAG 的 b3 有效候选率最低（90.00%），关闭 Profiling 的 a6（92.23%）与改用普通语义检索的 b4（92.27%）略高且基本持平，表明知识库检索对生成代码可用性的贡献大于 Profiling 反馈。完整方法 full 为 86.95%，数值上低于三者，但该行取自 3.1 主实验的 50 个 Kernel，与前三者（15 个 Kernel）口径不同，不可直接比较。此外各配置的 AST 静态拒绝数普遍较低（0~18），说明生成代码的主要失效来源并非语法层面的非法结构。</w:t>
      </w:r>
    </w:p>
    <w:p>
      <w:r>
        <w:rPr>
          <w:sz w:val="20"/>
        </w:rPr>
        <w:t>（2）为排除个别极端算子对 GM(S) 与中位数的主导作用，表6b 给出逐算子配对比较。以 full 为基准，对 a6 为 5 胜 4 负 6 平（相对差异中位数 +0.3%），对 b3 为 5 胜 4 负 6 平（相对差异中位数 -0.4%），对 b4 为 6 胜 6 负 3 平（相对差异中位数 +0.0%）。三组对比的胜负均接近五五开，相对差异中位数均在 ±1% 以内，表明单独关闭 Profiling、单独关闭 RAG，或将检索策略降级为普通语义 Top-k，均未导致加速比出现系统性下降，各配置与完整方法处于同一水平。</w:t>
      </w:r>
    </w:p>
    <w:p>
      <w:r>
        <w:rPr>
          <w:sz w:val="20"/>
        </w:rPr>
        <w:t>（3）表6 中各配置中位数 S 的差异，主要源于单轮搜索的随机性而非方法本身。各配置本轮未能找到有效优化（S &lt; 1.02）的 Kernel 数分别为：a6 4 个、b3 7 个、b4 5 个、full 6 个，full 并非最多，可见搜索失利是各配置共有的现象。差异集中于个别算子：在 recompute_w_u_fwd_kernel 上，full 仅取得 1.01，而同期表现最好的消融配置为 2.75（相差 2.7 倍）；此类个别算子的成败即可显著移动全样本中位数，因此中位数在本组实验中并非稳健指标。</w:t>
      </w:r>
    </w:p>
    <w:p>
      <w:r>
        <w:rPr>
          <w:sz w:val="20"/>
        </w:rPr>
        <w:t>（4）若仅考察各配置成功找到优化的 Kernel，full 的典型增益并不弱于消融配置：剔除搜索失败样本后，各配置的中位加速比为 full 2.393、a6 2.188、b3 2.826、b4 1.891。四者处于同一量级，未见任一消融配置能够稳定优于完整方法。</w:t>
      </w:r>
    </w:p>
    <w:p>
      <w:r>
        <w:rPr>
          <w:sz w:val="20"/>
        </w:rPr>
        <w:t>（5）综合有效候选率与配对比较可知，Profiling 与 RAG 组件的作用主要体现在提升生成代码的可用性与搜索稳定性上，而非单轮峰值加速比；在单轮搜索的方差水平下，各消融配置与完整方法的加速比差异未达统计显著。需要说明的是，本组实验每种配置仅执行一轮搜索，结论受采样波动影响；更稳健的做法是在同一批次、相同随机种子下进行多轮重复，以 best-of-N 或多轮中位数抑制方差，这也是后续需要补充的实验。</w:t>
      </w:r>
    </w:p>
    <w:p/>
    <w:p>
      <w:r>
        <w:rPr>
          <w:sz w:val="18"/>
        </w:rPr>
        <w:t>注：* 标记的 full* 行为按消融所用的同一批 15 个 Kernel 重新统计得到的结果，用于与主实验的 50 Kernel 口径区分。有效候选率 = 通过编译与功能验证并取得有效延迟的候选数 / 送交 NPU 评测的候选数。加速比 S = 基线执行时间 / 优化后执行时间，其中各配置共用同一份 manifest 中的基线测量值，故 S 可跨配置直接比较。表6b 的配对比较对每个 Kernel 逐一对齐比较，差异在 ±2% 以内记为持平。本组实验每种配置仅执行一轮搜索，结论受采样波动影响，正式结论应以多轮重复实验为准。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