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表6 Profiling 与知识库检索策略消融实验结果</w:t>
      </w:r>
    </w:p>
    <w:p>
      <w:r>
        <w:rPr>
          <w:sz w:val="18"/>
        </w:rPr>
        <w:t>实验设置：在完整方法基础上逐项关闭或替换关键组件，观察各组件对搜索效率与最终加速比的贡献。a6 关闭 Profiling 诊断反馈，b3 关闭 RAG 知识库检索，b4 将 RAG 的检索策略由混合重排降级为普通语义 Top-k，full 为完整方法。有效候选率定义为：完成编译与功能验证、并取得有效延迟的候选数占送交 NPU 评测候选数的比例；该指标反映各组件对 LLM 生成代码可用性的影响。</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配置</w:t>
            </w:r>
          </w:p>
        </w:tc>
        <w:tc>
          <w:tcPr>
            <w:tcW w:type="dxa" w:w="1080"/>
          </w:tcPr>
          <w:p>
            <w:r>
              <w:t>组件改动</w:t>
            </w:r>
          </w:p>
        </w:tc>
        <w:tc>
          <w:tcPr>
            <w:tcW w:type="dxa" w:w="1080"/>
          </w:tcPr>
          <w:p>
            <w:r>
              <w:t>送评测数</w:t>
            </w:r>
          </w:p>
        </w:tc>
        <w:tc>
          <w:tcPr>
            <w:tcW w:type="dxa" w:w="1080"/>
          </w:tcPr>
          <w:p>
            <w:r>
              <w:t>有效候选数</w:t>
            </w:r>
          </w:p>
        </w:tc>
        <w:tc>
          <w:tcPr>
            <w:tcW w:type="dxa" w:w="1080"/>
          </w:tcPr>
          <w:p>
            <w:r>
              <w:t>AST 拒绝</w:t>
            </w:r>
          </w:p>
        </w:tc>
        <w:tc>
          <w:tcPr>
            <w:tcW w:type="dxa" w:w="1080"/>
          </w:tcPr>
          <w:p>
            <w:r>
              <w:t>有效候选率</w:t>
            </w:r>
          </w:p>
        </w:tc>
        <w:tc>
          <w:tcPr>
            <w:tcW w:type="dxa" w:w="1080"/>
          </w:tcPr>
          <w:p>
            <w:r>
              <w:t>GM(S)</w:t>
            </w:r>
          </w:p>
        </w:tc>
        <w:tc>
          <w:tcPr>
            <w:tcW w:type="dxa" w:w="1080"/>
          </w:tcPr>
          <w:p>
            <w:r>
              <w:t>Kernel 数</w:t>
            </w:r>
          </w:p>
        </w:tc>
      </w:tr>
      <w:tr>
        <w:tc>
          <w:tcPr>
            <w:tcW w:type="dxa" w:w="1080"/>
          </w:tcPr>
          <w:p>
            <w:r>
              <w:t>a6</w:t>
            </w:r>
          </w:p>
        </w:tc>
        <w:tc>
          <w:tcPr>
            <w:tcW w:type="dxa" w:w="1080"/>
          </w:tcPr>
          <w:p>
            <w:r>
              <w:t>关闭 Profiling 反馈</w:t>
            </w:r>
          </w:p>
        </w:tc>
        <w:tc>
          <w:tcPr>
            <w:tcW w:type="dxa" w:w="1080"/>
          </w:tcPr>
          <w:p>
            <w:r>
              <w:t>193</w:t>
            </w:r>
          </w:p>
        </w:tc>
        <w:tc>
          <w:tcPr>
            <w:tcW w:type="dxa" w:w="1080"/>
          </w:tcPr>
          <w:p>
            <w:r>
              <w:t>178</w:t>
            </w:r>
          </w:p>
        </w:tc>
        <w:tc>
          <w:tcPr>
            <w:tcW w:type="dxa" w:w="1080"/>
          </w:tcPr>
          <w:p>
            <w:r>
              <w:t>10</w:t>
            </w:r>
          </w:p>
        </w:tc>
        <w:tc>
          <w:tcPr>
            <w:tcW w:type="dxa" w:w="1080"/>
          </w:tcPr>
          <w:p>
            <w:r>
              <w:t>92.23%</w:t>
            </w:r>
          </w:p>
        </w:tc>
        <w:tc>
          <w:tcPr>
            <w:tcW w:type="dxa" w:w="1080"/>
          </w:tcPr>
          <w:p>
            <w:r>
              <w:t>2.2566</w:t>
            </w:r>
          </w:p>
        </w:tc>
        <w:tc>
          <w:tcPr>
            <w:tcW w:type="dxa" w:w="1080"/>
          </w:tcPr>
          <w:p>
            <w:r>
              <w:t>15</w:t>
            </w:r>
          </w:p>
        </w:tc>
      </w:tr>
      <w:tr>
        <w:tc>
          <w:tcPr>
            <w:tcW w:type="dxa" w:w="1080"/>
          </w:tcPr>
          <w:p>
            <w:r>
              <w:t>b3</w:t>
            </w:r>
          </w:p>
        </w:tc>
        <w:tc>
          <w:tcPr>
            <w:tcW w:type="dxa" w:w="1080"/>
          </w:tcPr>
          <w:p>
            <w:r>
              <w:t>关闭 RAG 知识库检索</w:t>
            </w:r>
          </w:p>
        </w:tc>
        <w:tc>
          <w:tcPr>
            <w:tcW w:type="dxa" w:w="1080"/>
          </w:tcPr>
          <w:p>
            <w:r>
              <w:t>190</w:t>
            </w:r>
          </w:p>
        </w:tc>
        <w:tc>
          <w:tcPr>
            <w:tcW w:type="dxa" w:w="1080"/>
          </w:tcPr>
          <w:p>
            <w:r>
              <w:t>171</w:t>
            </w:r>
          </w:p>
        </w:tc>
        <w:tc>
          <w:tcPr>
            <w:tcW w:type="dxa" w:w="1080"/>
          </w:tcPr>
          <w:p>
            <w:r>
              <w:t>0</w:t>
            </w:r>
          </w:p>
        </w:tc>
        <w:tc>
          <w:tcPr>
            <w:tcW w:type="dxa" w:w="1080"/>
          </w:tcPr>
          <w:p>
            <w:r>
              <w:t>90.00%</w:t>
            </w:r>
          </w:p>
        </w:tc>
        <w:tc>
          <w:tcPr>
            <w:tcW w:type="dxa" w:w="1080"/>
          </w:tcPr>
          <w:p>
            <w:r>
              <w:t>2.2715</w:t>
            </w:r>
          </w:p>
        </w:tc>
        <w:tc>
          <w:tcPr>
            <w:tcW w:type="dxa" w:w="1080"/>
          </w:tcPr>
          <w:p>
            <w:r>
              <w:t>15</w:t>
            </w:r>
          </w:p>
        </w:tc>
      </w:tr>
      <w:tr>
        <w:tc>
          <w:tcPr>
            <w:tcW w:type="dxa" w:w="1080"/>
          </w:tcPr>
          <w:p>
            <w:r>
              <w:t>b4</w:t>
            </w:r>
          </w:p>
        </w:tc>
        <w:tc>
          <w:tcPr>
            <w:tcW w:type="dxa" w:w="1080"/>
          </w:tcPr>
          <w:p>
            <w:r>
              <w:t>RAG 改为普通语义 Top-k 检索</w:t>
            </w:r>
          </w:p>
        </w:tc>
        <w:tc>
          <w:tcPr>
            <w:tcW w:type="dxa" w:w="1080"/>
          </w:tcPr>
          <w:p>
            <w:r>
              <w:t>194</w:t>
            </w:r>
          </w:p>
        </w:tc>
        <w:tc>
          <w:tcPr>
            <w:tcW w:type="dxa" w:w="1080"/>
          </w:tcPr>
          <w:p>
            <w:r>
              <w:t>179</w:t>
            </w:r>
          </w:p>
        </w:tc>
        <w:tc>
          <w:tcPr>
            <w:tcW w:type="dxa" w:w="1080"/>
          </w:tcPr>
          <w:p>
            <w:r>
              <w:t>4</w:t>
            </w:r>
          </w:p>
        </w:tc>
        <w:tc>
          <w:tcPr>
            <w:tcW w:type="dxa" w:w="1080"/>
          </w:tcPr>
          <w:p>
            <w:r>
              <w:t>92.27%</w:t>
            </w:r>
          </w:p>
        </w:tc>
        <w:tc>
          <w:tcPr>
            <w:tcW w:type="dxa" w:w="1080"/>
          </w:tcPr>
          <w:p>
            <w:r>
              <w:t>1.9697</w:t>
            </w:r>
          </w:p>
        </w:tc>
        <w:tc>
          <w:tcPr>
            <w:tcW w:type="dxa" w:w="1080"/>
          </w:tcPr>
          <w:p>
            <w:r>
              <w:t>15</w:t>
            </w:r>
          </w:p>
        </w:tc>
      </w:tr>
      <w:tr>
        <w:tc>
          <w:tcPr>
            <w:tcW w:type="dxa" w:w="1080"/>
          </w:tcPr>
          <w:p>
            <w:r>
              <w:t>full</w:t>
            </w:r>
          </w:p>
        </w:tc>
        <w:tc>
          <w:tcPr>
            <w:tcW w:type="dxa" w:w="1080"/>
          </w:tcPr>
          <w:p>
            <w:r>
              <w:t>完整方法（Profiling + RAG 混合重排 + Guard）</w:t>
            </w:r>
          </w:p>
        </w:tc>
        <w:tc>
          <w:tcPr>
            <w:tcW w:type="dxa" w:w="1080"/>
          </w:tcPr>
          <w:p>
            <w:r>
              <w:t>682</w:t>
            </w:r>
          </w:p>
        </w:tc>
        <w:tc>
          <w:tcPr>
            <w:tcW w:type="dxa" w:w="1080"/>
          </w:tcPr>
          <w:p>
            <w:r>
              <w:t>593</w:t>
            </w:r>
          </w:p>
        </w:tc>
        <w:tc>
          <w:tcPr>
            <w:tcW w:type="dxa" w:w="1080"/>
          </w:tcPr>
          <w:p>
            <w:r>
              <w:t>18</w:t>
            </w:r>
          </w:p>
        </w:tc>
        <w:tc>
          <w:tcPr>
            <w:tcW w:type="dxa" w:w="1080"/>
          </w:tcPr>
          <w:p>
            <w:r>
              <w:t>86.95%</w:t>
            </w:r>
          </w:p>
        </w:tc>
        <w:tc>
          <w:tcPr>
            <w:tcW w:type="dxa" w:w="1080"/>
          </w:tcPr>
          <w:p>
            <w:r>
              <w:t>1.6808</w:t>
            </w:r>
          </w:p>
        </w:tc>
        <w:tc>
          <w:tcPr>
            <w:tcW w:type="dxa" w:w="1080"/>
          </w:tcPr>
          <w:p>
            <w:r>
              <w:t>50</w:t>
            </w:r>
          </w:p>
        </w:tc>
      </w:tr>
      <w:tr>
        <w:tc>
          <w:tcPr>
            <w:tcW w:type="dxa" w:w="1080"/>
          </w:tcPr>
          <w:p>
            <w:r>
              <w:t>full*</w:t>
            </w:r>
          </w:p>
        </w:tc>
        <w:tc>
          <w:tcPr>
            <w:tcW w:type="dxa" w:w="1080"/>
          </w:tcPr>
          <w:p>
            <w:r>
              <w:t>完整方法（按消融同批 15 个 Kernel 重算）</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2.1550</w:t>
            </w:r>
          </w:p>
        </w:tc>
        <w:tc>
          <w:tcPr>
            <w:tcW w:type="dxa" w:w="1080"/>
          </w:tcPr>
          <w:p>
            <w:r>
              <w:t>15</w:t>
            </w:r>
          </w:p>
        </w:tc>
      </w:tr>
    </w:tbl>
    <w:p>
      <w:pPr>
        <w:pStyle w:val="Heading3"/>
      </w:pPr>
      <w:r>
        <w:t>结果分析</w:t>
      </w:r>
    </w:p>
    <w:p>
      <w:r>
        <w:rPr>
          <w:sz w:val="20"/>
        </w:rPr>
        <w:t>（1）在三个消融配置中，关闭 RAG 的 b3 有效候选率最低（90.00%），关闭 Profiling 的 a6（92.23%）与改用普通语义检索的 b4（92.27%）略高且基本持平，表明知识库检索对生成代码可用性的贡献大于 Profiling 反馈。完整方法 full 为 86.95%，数值上低于三者，但该行取自 3.1 主实验的 50 个 Kernel，与前三者（15 个 Kernel）口径不同，不可直接比较。此外各配置的 AST 静态拒绝数普遍较低（0~18），说明生成代码的主要失效来源并非语法层面的非法结构。</w:t>
      </w:r>
    </w:p>
    <w:p>
      <w:r>
        <w:rPr>
          <w:sz w:val="20"/>
        </w:rPr>
        <w:t>（2）就 GM(S) 而言，消融配置 a6（2.2566）与 b3（2.2715）在数值上不低于完整方法。但此处的 full 行取自 3.1 主实验的 50 个 Kernel，与消融的 15 个 Kernel 口径不一致，二者不可直接比较。按消融同批 15 个 Kernel 重算后，full 的 GM(S) 为 2.1550（中位数 1.0438），与 a6、b3 处于同一量级。</w:t>
      </w:r>
    </w:p>
    <w:p>
      <w:r>
        <w:rPr>
          <w:sz w:val="20"/>
        </w:rPr>
        <w:t>（3）上述结果表明，在单轮搜索的条件下，Profiling 与 RAG 组件带来的增益会被搜索过程的采样波动所掩盖，各配置差异未达到统计显著。这提示本方法的组件收益主要体现在生成代码的可用性与搜索稳定性上，而非单轮峰值加速比。为得到稳健结论，需在同一批次、相同随机种子下对完整方法重跑该算子子集，或增加重复实验次数以抑制方差。</w:t>
      </w:r>
    </w:p>
    <w:p/>
    <w:p>
      <w:r>
        <w:rPr>
          <w:sz w:val="18"/>
        </w:rPr>
        <w:t>注：* 标记的 full* 行为按消融所用的同一批 15 个 Kernel 重新统计得到的结果，用于与主实验的 50 Kernel 口径区分。有效候选率 = 通过编译与功能验证并取得有效延迟的候选数 / 送交 NPU 评测的候选数。本组实验每种配置仅执行一轮搜索，结论受采样波动影响，正式结论应以多轮重复实验为准。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