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表7 选择策略消融实验结果（3.4.1）</w:t>
      </w:r>
    </w:p>
    <w:p>
      <w:r>
        <w:rPr>
          <w:sz w:val="18"/>
        </w:rPr>
        <w:t>实验设置：在完整方法基础上仅替换父代选择策略，其余组件保持不变，比较轮盘赌选择（按适应度归一化为采样概率）与锦标赛选择（每次随机抽取 k 个候选并取最优者）。指标上，被选中父代的平均适应度反映选择压力：该值越高说明选择越偏向当前高适应度个体，种群多样性相应越低。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配置</w:t>
            </w:r>
          </w:p>
        </w:tc>
        <w:tc>
          <w:tcPr>
            <w:tcW w:type="dxa" w:w="1440"/>
          </w:tcPr>
          <w:p>
            <w:r>
              <w:t>选择策略</w:t>
            </w:r>
          </w:p>
        </w:tc>
        <w:tc>
          <w:tcPr>
            <w:tcW w:type="dxa" w:w="1440"/>
          </w:tcPr>
          <w:p>
            <w:r>
              <w:t>选择次数</w:t>
            </w:r>
          </w:p>
        </w:tc>
        <w:tc>
          <w:tcPr>
            <w:tcW w:type="dxa" w:w="1440"/>
          </w:tcPr>
          <w:p>
            <w:r>
              <w:t>被选父代平均适应度</w:t>
            </w:r>
          </w:p>
        </w:tc>
        <w:tc>
          <w:tcPr>
            <w:tcW w:type="dxa" w:w="1440"/>
          </w:tcPr>
          <w:p>
            <w:r>
              <w:t>GM(S)</w:t>
            </w:r>
          </w:p>
        </w:tc>
        <w:tc>
          <w:tcPr>
            <w:tcW w:type="dxa" w:w="1440"/>
          </w:tcPr>
          <w:p>
            <w:r>
              <w:t>参与 Kernel 数</w:t>
            </w:r>
          </w:p>
        </w:tc>
      </w:tr>
      <w:tr>
        <w:tc>
          <w:tcPr>
            <w:tcW w:type="dxa" w:w="1440"/>
          </w:tcPr>
          <w:p>
            <w:r>
              <w:t>sel_roulette</w:t>
            </w:r>
          </w:p>
        </w:tc>
        <w:tc>
          <w:tcPr>
            <w:tcW w:type="dxa" w:w="1440"/>
          </w:tcPr>
          <w:p>
            <w:r>
              <w:t>轮盘赌选择（按适应度概率采样）</w:t>
            </w:r>
          </w:p>
        </w:tc>
        <w:tc>
          <w:tcPr>
            <w:tcW w:type="dxa" w:w="1440"/>
          </w:tcPr>
          <w:p>
            <w:r>
              <w:t>120</w:t>
            </w:r>
          </w:p>
        </w:tc>
        <w:tc>
          <w:tcPr>
            <w:tcW w:type="dxa" w:w="1440"/>
          </w:tcPr>
          <w:p>
            <w:r>
              <w:t>1.1820</w:t>
            </w:r>
          </w:p>
        </w:tc>
        <w:tc>
          <w:tcPr>
            <w:tcW w:type="dxa" w:w="1440"/>
          </w:tcPr>
          <w:p>
            <w:r>
              <w:t>2.2281</w:t>
            </w:r>
          </w:p>
        </w:tc>
        <w:tc>
          <w:tcPr>
            <w:tcW w:type="dxa" w:w="1440"/>
          </w:tcPr>
          <w:p>
            <w:r>
              <w:t>15</w:t>
            </w:r>
          </w:p>
        </w:tc>
      </w:tr>
      <w:tr>
        <w:tc>
          <w:tcPr>
            <w:tcW w:type="dxa" w:w="1440"/>
          </w:tcPr>
          <w:p>
            <w:r>
              <w:t>sel_tournament</w:t>
            </w:r>
          </w:p>
        </w:tc>
        <w:tc>
          <w:tcPr>
            <w:tcW w:type="dxa" w:w="1440"/>
          </w:tcPr>
          <w:p>
            <w:r>
              <w:t>锦标赛选择（k 个候选竞争取优）</w:t>
            </w:r>
          </w:p>
        </w:tc>
        <w:tc>
          <w:tcPr>
            <w:tcW w:type="dxa" w:w="1440"/>
          </w:tcPr>
          <w:p>
            <w:r>
              <w:t>120</w:t>
            </w:r>
          </w:p>
        </w:tc>
        <w:tc>
          <w:tcPr>
            <w:tcW w:type="dxa" w:w="1440"/>
          </w:tcPr>
          <w:p>
            <w:r>
              <w:t>1.0155</w:t>
            </w:r>
          </w:p>
        </w:tc>
        <w:tc>
          <w:tcPr>
            <w:tcW w:type="dxa" w:w="1440"/>
          </w:tcPr>
          <w:p>
            <w:r>
              <w:t>2.0516</w:t>
            </w:r>
          </w:p>
        </w:tc>
        <w:tc>
          <w:tcPr>
            <w:tcW w:type="dxa" w:w="1440"/>
          </w:tcPr>
          <w:p>
            <w:r>
              <w:t>15</w:t>
            </w:r>
          </w:p>
        </w:tc>
      </w:tr>
    </w:tbl>
    <w:p/>
    <w:p>
      <w:r>
        <w:rPr>
          <w:sz w:val="18"/>
        </w:rPr>
        <w:t>注：被选父代平均适应度 = 所有被选中父代个体适应度的均值，用于衡量选择压力；GM(S) 为最终加速比的几何平均。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