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本章所有实验在同一软硬件环境下完成。硬件平台为搭载两块 Ascend 910 的服务器，软件栈为 CANN 9.0.0、Triton-Ascend 3.2.1 与 torch_npu 2.7.1。实验对象为 50 个 Triton 算子，每个算子提供 2 个初始种子实现与 1 个测试脚本，共 100 个种子源码文件与 50 个测试脚本；另有 150 条历史基线记录作为参考，本章不直接引用该记录，参考实现延迟均在当前环境下重新测量。</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 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pPr>
              <w:jc w:val="center"/>
            </w:pPr>
            <w:r/>
            <w:r>
              <w:rPr>
                <w:rFonts w:ascii="黑体" w:hAnsi="黑体" w:eastAsia="黑体"/>
                <w:b/>
                <w:sz w:val="19"/>
              </w:rPr>
              <w:t>参与统计算子数</w:t>
            </w:r>
          </w:p>
        </w:tc>
        <w:tc>
          <w:tcPr>
            <w:tcW w:type="dxa" w:w="1587"/>
          </w:tcPr>
          <w:p>
            <w:pPr>
              <w:jc w:val="center"/>
            </w:pPr>
            <w:r/>
            <w:r>
              <w:rPr>
                <w:rFonts w:ascii="黑体" w:hAnsi="黑体" w:eastAsia="黑体"/>
                <w:b/>
                <w:sz w:val="19"/>
              </w:rPr>
              <w:t>大模型调用数</w:t>
            </w:r>
          </w:p>
        </w:tc>
      </w:tr>
      <w:tr>
        <w:tc>
          <w:tcPr>
            <w:tcW w:type="dxa" w:w="2608"/>
          </w:tcPr>
          <w:p>
            <w:pPr>
              <w:jc w:val="center"/>
            </w:pPr>
            <w:r/>
            <w:r>
              <w:rPr>
                <w:rFonts w:ascii="宋体" w:hAnsi="宋体" w:eastAsia="宋体"/>
                <w:b w:val="0"/>
                <w:sz w:val="19"/>
              </w:rPr>
              <w:t>B0 参考实现</w:t>
            </w:r>
          </w:p>
        </w:tc>
        <w:tc>
          <w:tcPr>
            <w:tcW w:type="dxa" w:w="1361"/>
          </w:tcPr>
          <w:p>
            <w:pPr>
              <w:jc w:val="center"/>
            </w:pPr>
            <w:r/>
            <w:r>
              <w:rPr>
                <w:rFonts w:ascii="宋体" w:hAnsi="宋体" w:eastAsia="宋体"/>
                <w:b w:val="0"/>
                <w:sz w:val="19"/>
              </w:rPr>
              <w:t>—</w:t>
            </w:r>
          </w:p>
        </w:tc>
        <w:tc>
          <w:tcPr>
            <w:tcW w:type="dxa" w:w="1361"/>
          </w:tcPr>
          <w:p>
            <w:pPr>
              <w:jc w:val="center"/>
            </w:pPr>
            <w:r/>
            <w:r>
              <w:rPr>
                <w:rFonts w:ascii="宋体" w:hAnsi="宋体" w:eastAsia="宋体"/>
                <w:b w:val="0"/>
                <w:sz w:val="19"/>
              </w:rPr>
              <w:t>1.000</w:t>
            </w:r>
          </w:p>
        </w:tc>
        <w:tc>
          <w:tcPr>
            <w:tcW w:type="dxa" w:w="1701"/>
          </w:tcPr>
          <w:p>
            <w:pPr>
              <w:jc w:val="center"/>
            </w:pPr>
            <w:r/>
            <w:r>
              <w:rPr>
                <w:rFonts w:ascii="宋体" w:hAnsi="宋体" w:eastAsia="宋体"/>
                <w:b w:val="0"/>
                <w:sz w:val="19"/>
              </w:rPr>
              <w:t>50</w:t>
            </w:r>
          </w:p>
        </w:tc>
        <w:tc>
          <w:tcPr>
            <w:tcW w:type="dxa" w:w="1587"/>
          </w:tcPr>
          <w:p>
            <w:pPr>
              <w:jc w:val="center"/>
            </w:pPr>
            <w:r/>
            <w:r>
              <w:rPr>
                <w:rFonts w:ascii="宋体" w:hAnsi="宋体" w:eastAsia="宋体"/>
                <w:b w:val="0"/>
                <w:sz w:val="19"/>
              </w:rPr>
              <w:t>—</w:t>
            </w:r>
          </w:p>
        </w:tc>
      </w:tr>
      <w:tr>
        <w:tc>
          <w:tcPr>
            <w:tcW w:type="dxa" w:w="2608"/>
          </w:tcPr>
          <w:p>
            <w:pPr>
              <w:jc w:val="center"/>
            </w:pPr>
            <w:r/>
            <w:r>
              <w:rPr>
                <w:rFonts w:ascii="宋体" w:hAnsi="宋体" w:eastAsia="宋体"/>
                <w:b w:val="0"/>
                <w:sz w:val="19"/>
              </w:rPr>
              <w:t>B1 无证据引导进化优化</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701"/>
          </w:tcPr>
          <w:p>
            <w:pPr>
              <w:jc w:val="center"/>
            </w:pPr>
            <w:r/>
            <w:r>
              <w:rPr>
                <w:rFonts w:ascii="宋体" w:hAnsi="宋体" w:eastAsia="宋体"/>
                <w:b w:val="0"/>
                <w:sz w:val="19"/>
              </w:rPr>
              <w:t>【待填】</w:t>
            </w:r>
          </w:p>
        </w:tc>
        <w:tc>
          <w:tcPr>
            <w:tcW w:type="dxa" w:w="1587"/>
          </w:tcPr>
          <w:p>
            <w:pPr>
              <w:jc w:val="center"/>
            </w:pPr>
            <w:r/>
            <w:r>
              <w:rPr>
                <w:rFonts w:ascii="宋体" w:hAnsi="宋体" w:eastAsia="宋体"/>
                <w:b w:val="0"/>
                <w:sz w:val="19"/>
              </w:rPr>
              <w:t>13</w:t>
            </w:r>
          </w:p>
        </w:tc>
      </w:tr>
      <w:tr>
        <w:tc>
          <w:tcPr>
            <w:tcW w:type="dxa" w:w="2608"/>
          </w:tcPr>
          <w:p>
            <w:pPr>
              <w:jc w:val="center"/>
            </w:pPr>
            <w:r/>
            <w:r>
              <w:rPr>
                <w:rFonts w:ascii="宋体" w:hAnsi="宋体" w:eastAsia="宋体"/>
                <w:b w:val="0"/>
                <w:sz w:val="19"/>
              </w:rPr>
              <w:t>B2 大模型迭代优化</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701"/>
          </w:tcPr>
          <w:p>
            <w:pPr>
              <w:jc w:val="center"/>
            </w:pPr>
            <w:r/>
            <w:r>
              <w:rPr>
                <w:rFonts w:ascii="宋体" w:hAnsi="宋体" w:eastAsia="宋体"/>
                <w:b w:val="0"/>
                <w:sz w:val="19"/>
              </w:rPr>
              <w:t>【待填】</w:t>
            </w:r>
          </w:p>
        </w:tc>
        <w:tc>
          <w:tcPr>
            <w:tcW w:type="dxa" w:w="1587"/>
          </w:tcPr>
          <w:p>
            <w:pPr>
              <w:jc w:val="center"/>
            </w:pPr>
            <w:r/>
            <w:r>
              <w:rPr>
                <w:rFonts w:ascii="宋体" w:hAnsi="宋体" w:eastAsia="宋体"/>
                <w:b w:val="0"/>
                <w:sz w:val="19"/>
              </w:rPr>
              <w:t>13</w:t>
            </w:r>
          </w:p>
        </w:tc>
      </w:tr>
      <w:tr>
        <w:tc>
          <w:tcPr>
            <w:tcW w:type="dxa" w:w="2608"/>
          </w:tcPr>
          <w:p>
            <w:pPr>
              <w:jc w:val="center"/>
            </w:pPr>
            <w:r/>
            <w:r>
              <w:rPr>
                <w:rFonts w:ascii="宋体" w:hAnsi="宋体" w:eastAsia="宋体"/>
                <w:b w:val="0"/>
                <w:sz w:val="19"/>
              </w:rPr>
              <w:t>FULL TritonEvo-NPU</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701"/>
          </w:tcPr>
          <w:p>
            <w:pPr>
              <w:jc w:val="center"/>
            </w:pPr>
            <w:r/>
            <w:r>
              <w:rPr>
                <w:rFonts w:ascii="宋体" w:hAnsi="宋体" w:eastAsia="宋体"/>
                <w:b w:val="0"/>
                <w:sz w:val="19"/>
              </w:rPr>
              <w:t>【待填】</w:t>
            </w:r>
          </w:p>
        </w:tc>
        <w:tc>
          <w:tcPr>
            <w:tcW w:type="dxa" w:w="1587"/>
          </w:tcPr>
          <w:p>
            <w:pPr>
              <w:jc w:val="center"/>
            </w:pPr>
            <w:r/>
            <w:r>
              <w:rPr>
                <w:rFonts w:ascii="宋体" w:hAnsi="宋体" w:eastAsia="宋体"/>
                <w:b w:val="0"/>
                <w:sz w:val="19"/>
              </w:rPr>
              <w:t>15</w:t>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τ，3.1 主实验将其固定为 0.85。本节通过敏感性分析检验该取值的合理性，并考察 τ 对初始化阶段各项指标的影响方向与幅度。实验比较不筛选以及 τ 取 0.70、0.80、0.85、0.90、0.95 共六种设置。</w:t>
      </w:r>
    </w:p>
    <w:p>
      <w:pPr>
        <w:ind w:firstLine="420"/>
      </w:pPr>
      <w:r>
        <w:rPr>
          <w:rFonts w:ascii="宋体" w:hAnsi="宋体" w:eastAsia="宋体"/>
          <w:b w:val="0"/>
          <w:sz w:val="21"/>
        </w:rPr>
        <w:t>需要首先说明的是，τ 仅当某算子两个种子的相似度落在阈值附近时才会改变实际决策。对 50 个算子的种子源码相似度统计表明，其取值范围为 0.068 至 1.000，中位数为 0.554；其中相似度低于 0.70 的算子有 34 个，在任何候选 τ 下均不会触发过滤，相似度不低于 0.95 的算子有 5 个，在任何候选 τ 下均会被过滤，这两类共 39 个算子对 τ 不敏感。因此本节的对比实验在其余 12 个对 τ 敏感的算子上进行（含相似度恰为 0.696 的边界样本），而仅依赖相似度分布即可计算的种子保留率仍在全部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pPr>
              <w:jc w:val="center"/>
            </w:pPr>
            <w:r/>
            <w:r>
              <w:rPr>
                <w:rFonts w:ascii="宋体" w:hAnsi="宋体" w:eastAsia="宋体"/>
                <w:b w:val="0"/>
                <w:sz w:val="19"/>
              </w:rPr>
              <w:t>100.0%</w:t>
            </w:r>
          </w:p>
        </w:tc>
        <w:tc>
          <w:tcPr>
            <w:tcW w:type="dxa" w:w="907"/>
          </w:tcPr>
          <w:p>
            <w:pPr>
              <w:jc w:val="center"/>
            </w:pPr>
            <w:r/>
            <w:r>
              <w:rPr>
                <w:rFonts w:ascii="宋体" w:hAnsi="宋体" w:eastAsia="宋体"/>
                <w:b w:val="0"/>
                <w:sz w:val="19"/>
              </w:rPr>
              <w:t>—</w:t>
            </w:r>
          </w:p>
        </w:tc>
        <w:tc>
          <w:tcPr>
            <w:tcW w:type="dxa" w:w="1814"/>
          </w:tcPr>
          <w:p>
            <w:pPr>
              <w:jc w:val="center"/>
            </w:pPr>
            <w:r/>
            <w:r>
              <w:rPr>
                <w:rFonts w:ascii="宋体" w:hAnsi="宋体" w:eastAsia="宋体"/>
                <w:sz w:val="19"/>
              </w:rPr>
              <w:t>0.2504</w:t>
            </w:r>
          </w:p>
        </w:tc>
        <w:tc>
          <w:tcPr>
            <w:tcW w:type="dxa" w:w="1361"/>
          </w:tcPr>
          <w:p>
            <w:pPr>
              <w:jc w:val="center"/>
            </w:pPr>
            <w:r/>
            <w:r>
              <w:rPr>
                <w:rFonts w:ascii="宋体" w:hAnsi="宋体" w:eastAsia="宋体"/>
                <w:sz w:val="19"/>
              </w:rPr>
              <w:t>99.1%</w:t>
            </w:r>
          </w:p>
        </w:tc>
        <w:tc>
          <w:tcPr>
            <w:tcW w:type="dxa" w:w="1474"/>
          </w:tcPr>
          <w:p>
            <w:pPr>
              <w:jc w:val="center"/>
            </w:pPr>
            <w:r/>
            <w:r>
              <w:rPr>
                <w:rFonts w:ascii="宋体" w:hAnsi="宋体" w:eastAsia="宋体"/>
                <w:sz w:val="19"/>
              </w:rPr>
              <w:t>1.0458</w:t>
            </w:r>
          </w:p>
        </w:tc>
      </w:tr>
      <w:tr>
        <w:tc>
          <w:tcPr>
            <w:tcW w:type="dxa" w:w="1247"/>
          </w:tcPr>
          <w:p>
            <w:pPr>
              <w:jc w:val="center"/>
            </w:pPr>
            <w:r/>
            <w:r>
              <w:rPr>
                <w:rFonts w:ascii="宋体" w:hAnsi="宋体" w:eastAsia="宋体"/>
                <w:b w:val="0"/>
                <w:sz w:val="19"/>
              </w:rPr>
              <w:t>0.70</w:t>
            </w:r>
          </w:p>
        </w:tc>
        <w:tc>
          <w:tcPr>
            <w:tcW w:type="dxa" w:w="1474"/>
          </w:tcPr>
          <w:p>
            <w:pPr>
              <w:jc w:val="center"/>
            </w:pPr>
            <w:r/>
            <w:r>
              <w:rPr>
                <w:rFonts w:ascii="宋体" w:hAnsi="宋体" w:eastAsia="宋体"/>
                <w:b w:val="0"/>
                <w:sz w:val="19"/>
              </w:rPr>
              <w:t>84.0%</w:t>
            </w:r>
          </w:p>
        </w:tc>
        <w:tc>
          <w:tcPr>
            <w:tcW w:type="dxa" w:w="907"/>
          </w:tcPr>
          <w:p>
            <w:pPr>
              <w:jc w:val="center"/>
            </w:pPr>
            <w:r/>
            <w:r>
              <w:rPr>
                <w:rFonts w:ascii="宋体" w:hAnsi="宋体" w:eastAsia="宋体"/>
                <w:b w:val="0"/>
                <w:sz w:val="19"/>
              </w:rPr>
              <w:t>16</w:t>
            </w:r>
          </w:p>
        </w:tc>
        <w:tc>
          <w:tcPr>
            <w:tcW w:type="dxa" w:w="1814"/>
          </w:tcPr>
          <w:p>
            <w:pPr>
              <w:jc w:val="center"/>
            </w:pPr>
            <w:r/>
            <w:r>
              <w:rPr>
                <w:rFonts w:ascii="宋体" w:hAnsi="宋体" w:eastAsia="宋体"/>
                <w:sz w:val="19"/>
              </w:rPr>
              <w:t>0.2912</w:t>
            </w:r>
          </w:p>
        </w:tc>
        <w:tc>
          <w:tcPr>
            <w:tcW w:type="dxa" w:w="1361"/>
          </w:tcPr>
          <w:p>
            <w:pPr>
              <w:jc w:val="center"/>
            </w:pPr>
            <w:r/>
            <w:r>
              <w:rPr>
                <w:rFonts w:ascii="宋体" w:hAnsi="宋体" w:eastAsia="宋体"/>
                <w:sz w:val="19"/>
              </w:rPr>
              <w:t>95.1%</w:t>
            </w:r>
          </w:p>
        </w:tc>
        <w:tc>
          <w:tcPr>
            <w:tcW w:type="dxa" w:w="1474"/>
          </w:tcPr>
          <w:p>
            <w:pPr>
              <w:jc w:val="center"/>
            </w:pPr>
            <w:r/>
            <w:r>
              <w:rPr>
                <w:rFonts w:ascii="宋体" w:hAnsi="宋体" w:eastAsia="宋体"/>
                <w:sz w:val="19"/>
              </w:rPr>
              <w:t>1.0696</w:t>
            </w:r>
          </w:p>
        </w:tc>
      </w:tr>
      <w:tr>
        <w:tc>
          <w:tcPr>
            <w:tcW w:type="dxa" w:w="1247"/>
          </w:tcPr>
          <w:p>
            <w:pPr>
              <w:jc w:val="center"/>
            </w:pPr>
            <w:r/>
            <w:r>
              <w:rPr>
                <w:rFonts w:ascii="宋体" w:hAnsi="宋体" w:eastAsia="宋体"/>
                <w:b w:val="0"/>
                <w:sz w:val="19"/>
              </w:rPr>
              <w:t>0.80</w:t>
            </w:r>
          </w:p>
        </w:tc>
        <w:tc>
          <w:tcPr>
            <w:tcW w:type="dxa" w:w="1474"/>
          </w:tcPr>
          <w:p>
            <w:pPr>
              <w:jc w:val="center"/>
            </w:pPr>
            <w:r/>
            <w:r>
              <w:rPr>
                <w:rFonts w:ascii="宋体" w:hAnsi="宋体" w:eastAsia="宋体"/>
                <w:b w:val="0"/>
                <w:sz w:val="19"/>
              </w:rPr>
              <w:t>86.0%</w:t>
            </w:r>
          </w:p>
        </w:tc>
        <w:tc>
          <w:tcPr>
            <w:tcW w:type="dxa" w:w="907"/>
          </w:tcPr>
          <w:p>
            <w:pPr>
              <w:jc w:val="center"/>
            </w:pPr>
            <w:r/>
            <w:r>
              <w:rPr>
                <w:rFonts w:ascii="宋体" w:hAnsi="宋体" w:eastAsia="宋体"/>
                <w:b w:val="0"/>
                <w:sz w:val="19"/>
              </w:rPr>
              <w:t>2</w:t>
            </w:r>
          </w:p>
        </w:tc>
        <w:tc>
          <w:tcPr>
            <w:tcW w:type="dxa" w:w="1814"/>
          </w:tcPr>
          <w:p>
            <w:pPr>
              <w:jc w:val="center"/>
            </w:pPr>
            <w:r/>
            <w:r>
              <w:rPr>
                <w:rFonts w:ascii="宋体" w:hAnsi="宋体" w:eastAsia="宋体"/>
                <w:sz w:val="19"/>
              </w:rPr>
              <w:t>0.2827</w:t>
            </w:r>
          </w:p>
        </w:tc>
        <w:tc>
          <w:tcPr>
            <w:tcW w:type="dxa" w:w="1361"/>
          </w:tcPr>
          <w:p>
            <w:pPr>
              <w:jc w:val="center"/>
            </w:pPr>
            <w:r/>
            <w:r>
              <w:rPr>
                <w:rFonts w:ascii="宋体" w:hAnsi="宋体" w:eastAsia="宋体"/>
                <w:sz w:val="19"/>
              </w:rPr>
              <w:t>90.8%</w:t>
            </w:r>
          </w:p>
        </w:tc>
        <w:tc>
          <w:tcPr>
            <w:tcW w:type="dxa" w:w="1474"/>
          </w:tcPr>
          <w:p>
            <w:pPr>
              <w:jc w:val="center"/>
            </w:pPr>
            <w:r/>
            <w:r>
              <w:rPr>
                <w:rFonts w:ascii="宋体" w:hAnsi="宋体" w:eastAsia="宋体"/>
                <w:sz w:val="19"/>
              </w:rPr>
              <w:t>1.0649</w:t>
            </w:r>
          </w:p>
        </w:tc>
      </w:tr>
      <w:tr>
        <w:tc>
          <w:tcPr>
            <w:tcW w:type="dxa" w:w="1247"/>
          </w:tcPr>
          <w:p>
            <w:pPr>
              <w:jc w:val="center"/>
            </w:pPr>
            <w:r/>
            <w:r>
              <w:rPr>
                <w:rFonts w:ascii="宋体" w:hAnsi="宋体" w:eastAsia="宋体"/>
                <w:b w:val="0"/>
                <w:sz w:val="19"/>
              </w:rPr>
              <w:t>0.85</w:t>
            </w:r>
          </w:p>
        </w:tc>
        <w:tc>
          <w:tcPr>
            <w:tcW w:type="dxa" w:w="1474"/>
          </w:tcPr>
          <w:p>
            <w:pPr>
              <w:jc w:val="center"/>
            </w:pPr>
            <w:r/>
            <w:r>
              <w:rPr>
                <w:rFonts w:ascii="宋体" w:hAnsi="宋体" w:eastAsia="宋体"/>
                <w:b w:val="0"/>
                <w:sz w:val="19"/>
              </w:rPr>
              <w:t>89.0%</w:t>
            </w:r>
          </w:p>
        </w:tc>
        <w:tc>
          <w:tcPr>
            <w:tcW w:type="dxa" w:w="907"/>
          </w:tcPr>
          <w:p>
            <w:pPr>
              <w:jc w:val="center"/>
            </w:pPr>
            <w:r/>
            <w:r>
              <w:rPr>
                <w:rFonts w:ascii="宋体" w:hAnsi="宋体" w:eastAsia="宋体"/>
                <w:b w:val="0"/>
                <w:sz w:val="19"/>
              </w:rPr>
              <w:t>3</w:t>
            </w:r>
          </w:p>
        </w:tc>
        <w:tc>
          <w:tcPr>
            <w:tcW w:type="dxa" w:w="1814"/>
          </w:tcPr>
          <w:p>
            <w:pPr>
              <w:jc w:val="center"/>
            </w:pPr>
            <w:r/>
            <w:r>
              <w:rPr>
                <w:rFonts w:ascii="宋体" w:hAnsi="宋体" w:eastAsia="宋体"/>
                <w:sz w:val="19"/>
              </w:rPr>
              <w:t>0.3133</w:t>
            </w:r>
          </w:p>
        </w:tc>
        <w:tc>
          <w:tcPr>
            <w:tcW w:type="dxa" w:w="1361"/>
          </w:tcPr>
          <w:p>
            <w:pPr>
              <w:jc w:val="center"/>
            </w:pPr>
            <w:r/>
            <w:r>
              <w:rPr>
                <w:rFonts w:ascii="宋体" w:hAnsi="宋体" w:eastAsia="宋体"/>
                <w:sz w:val="19"/>
              </w:rPr>
              <w:t>94.9%</w:t>
            </w:r>
          </w:p>
        </w:tc>
        <w:tc>
          <w:tcPr>
            <w:tcW w:type="dxa" w:w="1474"/>
          </w:tcPr>
          <w:p>
            <w:pPr>
              <w:jc w:val="center"/>
            </w:pPr>
            <w:r/>
            <w:r>
              <w:rPr>
                <w:rFonts w:ascii="宋体" w:hAnsi="宋体" w:eastAsia="宋体"/>
                <w:sz w:val="19"/>
              </w:rPr>
              <w:t>1.0752</w:t>
            </w:r>
          </w:p>
        </w:tc>
      </w:tr>
      <w:tr>
        <w:tc>
          <w:tcPr>
            <w:tcW w:type="dxa" w:w="1247"/>
          </w:tcPr>
          <w:p>
            <w:pPr>
              <w:jc w:val="center"/>
            </w:pPr>
            <w:r/>
            <w:r>
              <w:rPr>
                <w:rFonts w:ascii="宋体" w:hAnsi="宋体" w:eastAsia="宋体"/>
                <w:b w:val="0"/>
                <w:sz w:val="19"/>
              </w:rPr>
              <w:t>0.90</w:t>
            </w:r>
          </w:p>
        </w:tc>
        <w:tc>
          <w:tcPr>
            <w:tcW w:type="dxa" w:w="1474"/>
          </w:tcPr>
          <w:p>
            <w:pPr>
              <w:jc w:val="center"/>
            </w:pPr>
            <w:r/>
            <w:r>
              <w:rPr>
                <w:rFonts w:ascii="宋体" w:hAnsi="宋体" w:eastAsia="宋体"/>
                <w:b w:val="0"/>
                <w:sz w:val="19"/>
              </w:rPr>
              <w:t>91.0%</w:t>
            </w:r>
          </w:p>
        </w:tc>
        <w:tc>
          <w:tcPr>
            <w:tcW w:type="dxa" w:w="907"/>
          </w:tcPr>
          <w:p>
            <w:pPr>
              <w:jc w:val="center"/>
            </w:pPr>
            <w:r/>
            <w:r>
              <w:rPr>
                <w:rFonts w:ascii="宋体" w:hAnsi="宋体" w:eastAsia="宋体"/>
                <w:b w:val="0"/>
                <w:sz w:val="19"/>
              </w:rPr>
              <w:t>2</w:t>
            </w:r>
          </w:p>
        </w:tc>
        <w:tc>
          <w:tcPr>
            <w:tcW w:type="dxa" w:w="1814"/>
          </w:tcPr>
          <w:p>
            <w:pPr>
              <w:jc w:val="center"/>
            </w:pPr>
            <w:r/>
            <w:r>
              <w:rPr>
                <w:rFonts w:ascii="宋体" w:hAnsi="宋体" w:eastAsia="宋体"/>
                <w:sz w:val="19"/>
              </w:rPr>
              <w:t>0.2978</w:t>
            </w:r>
          </w:p>
        </w:tc>
        <w:tc>
          <w:tcPr>
            <w:tcW w:type="dxa" w:w="1361"/>
          </w:tcPr>
          <w:p>
            <w:pPr>
              <w:jc w:val="center"/>
            </w:pPr>
            <w:r/>
            <w:r>
              <w:rPr>
                <w:rFonts w:ascii="宋体" w:hAnsi="宋体" w:eastAsia="宋体"/>
                <w:sz w:val="19"/>
              </w:rPr>
              <w:t>94.9%</w:t>
            </w:r>
          </w:p>
        </w:tc>
        <w:tc>
          <w:tcPr>
            <w:tcW w:type="dxa" w:w="1474"/>
          </w:tcPr>
          <w:p>
            <w:pPr>
              <w:jc w:val="center"/>
            </w:pPr>
            <w:r/>
            <w:r>
              <w:rPr>
                <w:rFonts w:ascii="宋体" w:hAnsi="宋体" w:eastAsia="宋体"/>
                <w:sz w:val="19"/>
              </w:rPr>
              <w:t>1.0727</w:t>
            </w:r>
          </w:p>
        </w:tc>
      </w:tr>
      <w:tr>
        <w:tc>
          <w:tcPr>
            <w:tcW w:type="dxa" w:w="1247"/>
          </w:tcPr>
          <w:p>
            <w:pPr>
              <w:jc w:val="center"/>
            </w:pPr>
            <w:r/>
            <w:r>
              <w:rPr>
                <w:rFonts w:ascii="宋体" w:hAnsi="宋体" w:eastAsia="宋体"/>
                <w:b w:val="0"/>
                <w:sz w:val="19"/>
              </w:rPr>
              <w:t>0.95</w:t>
            </w:r>
          </w:p>
        </w:tc>
        <w:tc>
          <w:tcPr>
            <w:tcW w:type="dxa" w:w="1474"/>
          </w:tcPr>
          <w:p>
            <w:pPr>
              <w:jc w:val="center"/>
            </w:pPr>
            <w:r/>
            <w:r>
              <w:rPr>
                <w:rFonts w:ascii="宋体" w:hAnsi="宋体" w:eastAsia="宋体"/>
                <w:b w:val="0"/>
                <w:sz w:val="19"/>
              </w:rPr>
              <w:t>95.0%</w:t>
            </w:r>
          </w:p>
        </w:tc>
        <w:tc>
          <w:tcPr>
            <w:tcW w:type="dxa" w:w="907"/>
          </w:tcPr>
          <w:p>
            <w:pPr>
              <w:jc w:val="center"/>
            </w:pPr>
            <w:r/>
            <w:r>
              <w:rPr>
                <w:rFonts w:ascii="宋体" w:hAnsi="宋体" w:eastAsia="宋体"/>
                <w:b w:val="0"/>
                <w:sz w:val="19"/>
              </w:rPr>
              <w:t>4</w:t>
            </w:r>
          </w:p>
        </w:tc>
        <w:tc>
          <w:tcPr>
            <w:tcW w:type="dxa" w:w="1814"/>
          </w:tcPr>
          <w:p>
            <w:pPr>
              <w:jc w:val="center"/>
            </w:pPr>
            <w:r/>
            <w:r>
              <w:rPr>
                <w:rFonts w:ascii="宋体" w:hAnsi="宋体" w:eastAsia="宋体"/>
                <w:sz w:val="19"/>
              </w:rPr>
              <w:t>0.3307</w:t>
            </w:r>
          </w:p>
        </w:tc>
        <w:tc>
          <w:tcPr>
            <w:tcW w:type="dxa" w:w="1361"/>
          </w:tcPr>
          <w:p>
            <w:pPr>
              <w:jc w:val="center"/>
            </w:pPr>
            <w:r/>
            <w:r>
              <w:rPr>
                <w:rFonts w:ascii="宋体" w:hAnsi="宋体" w:eastAsia="宋体"/>
                <w:sz w:val="19"/>
              </w:rPr>
              <w:t>92.7%</w:t>
            </w:r>
          </w:p>
        </w:tc>
        <w:tc>
          <w:tcPr>
            <w:tcW w:type="dxa" w:w="1474"/>
          </w:tcPr>
          <w:p>
            <w:pPr>
              <w:jc w:val="center"/>
            </w:pPr>
            <w:r/>
            <w:r>
              <w:rPr>
                <w:rFonts w:ascii="宋体" w:hAnsi="宋体" w:eastAsia="宋体"/>
                <w:sz w:val="19"/>
              </w:rPr>
              <w:t>1.0673</w:t>
            </w:r>
          </w:p>
        </w:tc>
      </w:tr>
    </w:tbl>
    <w:p>
      <w:pPr>
        <w:spacing w:after="40"/>
      </w:pPr>
    </w:p>
    <w:p>
      <w:pPr>
        <w:ind w:firstLine="420"/>
      </w:pPr>
      <w:r>
        <w:rPr>
          <w:rFonts w:ascii="宋体" w:hAnsi="宋体" w:eastAsia="宋体"/>
          <w:b w:val="0"/>
          <w:sz w:val="21"/>
        </w:rPr>
        <w:t>种子保留率与 ΔN 由种子源码相似度直接统计得到，覆盖全部 50 个算子；D_G0、有效候选率与 GM(S) 在 11 个对 τ 敏感的算子上测得。六种设置均覆盖相同的 11 个算子，因此各行的 GM(S) 具有可比性。</w:t>
      </w:r>
    </w:p>
    <w:p>
      <w:pPr>
        <w:spacing w:line="360" w:lineRule="auto" w:after="120"/>
        <w:ind w:firstLine="420"/>
      </w:pPr>
      <w:r>
        <w:rPr>
          <w:rFonts w:ascii="宋体" w:hAnsi="宋体" w:eastAsia="宋体"/>
          <w:sz w:val="21"/>
        </w:rPr>
        <w:t>由表5 可见，不设置去重时 GM(S) 为 1.0458，是六种设置中的最低值；启用去重后各设置的 GM(S) 均高于该值，其中 τ=0.85 取得最高的 1.0752，较不筛选提升 2.8%。这表明种子去重机制本身能够带来实际收益，而不仅仅是减少初始化阶段的预算占用；同时也验证了第 2.3.1 节将 τ 取为 0.85 的合理性。</w:t>
      </w:r>
    </w:p>
    <w:p>
      <w:pPr>
        <w:spacing w:line="360" w:lineRule="auto" w:after="120"/>
        <w:ind w:firstLine="420"/>
      </w:pPr>
      <w:r>
        <w:rPr>
          <w:rFonts w:ascii="宋体" w:hAnsi="宋体" w:eastAsia="宋体"/>
          <w:sz w:val="21"/>
        </w:rPr>
        <w:t>在 τ 取 0.70 至 0.95 的区间内，GM(S) 介于 1.0649 与 1.0752 之间，极差不足 1%，说明最终性能对阈值的具体取值并不敏感，该方法具有较好的鲁棒性。种子保留率与有效候选率作为辅助指标同样支持这一判断：该区间内种子保留率由 84.0% 变化至 95.0%，有效候选率维持在 90.8% 至 95.1% 之间，二者均未随阈值呈现单调恶化的趋势。</w:t>
      </w:r>
    </w:p>
    <w:p>
      <w:pPr>
        <w:spacing w:line="360" w:lineRule="auto" w:after="120"/>
        <w:ind w:firstLine="420"/>
      </w:pPr>
      <w:r>
        <w:rPr>
          <w:rFonts w:ascii="宋体" w:hAnsi="宋体" w:eastAsia="宋体"/>
          <w:sz w:val="21"/>
        </w:rPr>
        <w:t>需要指出的是，D_G0 的最大值出现在 τ=0.95（0.3307），但该设置下的 GM(S) 并非最高。结合种子保留率可知，τ=0.95 时仅过滤 5 个算子、种子保留率达 95.0%，第 0 代种群在规模扩大的同时引入了较多近重复个体，使得多样性数值被抬高。这说明第 0 代多样性需要与最终加速比结合判断，单一的多样性指标并不直接对应搜索收益。综合 D_G0 与 GM(S)，τ=0.85 在维持较高多样性的同时取得了最好的最终加速比，因此后续实验沿用该取值。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主表报告有效候选率与最终加速比 GM(S)。有效候选率表示生成候选中最终完成编译、功能验证和性能测量的比例；后者使用与 3.1 一致的口径。编译成功率、功能通过率以及 AST 静态预检查的拒绝原因分布仍在实验日志中保留，用于需要时进一步分析失败来源，但不作为正文主表的独立列。</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通过 A6 与 FULL 的对比可以分离硬件证据的贡献，通过 B3 与 B4、FULL 的对比可以分离知识库检索方式的影响，而 B4 与 FULL 的对比则直接反映重排与 Guard 约束的相对收益。</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 3.1 与 3.2 节实验的推进而累积，模型训练与评估在样本量满足要求后进行。</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模型采用梯度提升树等小样本下稳定的学习器，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留一算子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