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表4 整体优化效果</w:t>
      </w:r>
    </w:p>
    <w:p>
      <w:r>
        <w:rPr>
          <w:sz w:val="18"/>
        </w:rPr>
        <w:t>注：F = T_seed / T_best，S = T_base / T_best；GM 为几何平均；参与 Kernel 数为 B1、B2、FULL 三种方法均产出有效候选的算子数。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GM(F)</w:t>
            </w:r>
          </w:p>
        </w:tc>
        <w:tc>
          <w:tcPr>
            <w:tcW w:type="dxa" w:w="1234"/>
          </w:tcPr>
          <w:p>
            <w:r>
              <w:t>GM(S)</w:t>
            </w:r>
          </w:p>
        </w:tc>
        <w:tc>
          <w:tcPr>
            <w:tcW w:type="dxa" w:w="1234"/>
          </w:tcPr>
          <w:p>
            <w:r>
              <w:t>中位数F</w:t>
            </w:r>
          </w:p>
        </w:tc>
        <w:tc>
          <w:tcPr>
            <w:tcW w:type="dxa" w:w="1234"/>
          </w:tcPr>
          <w:p>
            <w:r>
              <w:t>中位数S</w:t>
            </w:r>
          </w:p>
        </w:tc>
        <w:tc>
          <w:tcPr>
            <w:tcW w:type="dxa" w:w="1234"/>
          </w:tcPr>
          <w:p>
            <w:r>
              <w:t>参与 Kernel 数</w:t>
            </w:r>
          </w:p>
        </w:tc>
        <w:tc>
          <w:tcPr>
            <w:tcW w:type="dxa" w:w="1234"/>
          </w:tcPr>
          <w:p>
            <w:r>
              <w:t>LLM 调用数/算子</w:t>
            </w:r>
          </w:p>
        </w:tc>
      </w:tr>
      <w:tr>
        <w:tc>
          <w:tcPr>
            <w:tcW w:type="dxa" w:w="1234"/>
          </w:tcPr>
          <w:p>
            <w:r>
              <w:t>B0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B1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B2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13</w:t>
            </w:r>
          </w:p>
        </w:tc>
      </w:tr>
      <w:tr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</w:tbl>
    <w:p>
      <w:pPr>
        <w:pStyle w:val="Heading2"/>
      </w:pPr>
      <w:r>
        <w:t>表4b 按 Kernel 规模分组的加速比 GM(S)</w:t>
      </w:r>
    </w:p>
    <w:p>
      <w:r>
        <w:rPr>
          <w:sz w:val="18"/>
        </w:rPr>
        <w:t>注：按参考实现延迟 T_base 分组；同时给出几何平均与中位数，用于识别极端值对几何平均的主导作用。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组别</w:t>
            </w:r>
          </w:p>
        </w:tc>
        <w:tc>
          <w:tcPr>
            <w:tcW w:type="dxa" w:w="1440"/>
          </w:tcPr>
          <w:p>
            <w:r>
              <w:t>Kernel 数</w:t>
            </w:r>
          </w:p>
        </w:tc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B2</w:t>
            </w:r>
          </w:p>
        </w:tc>
        <w:tc>
          <w:tcPr>
            <w:tcW w:type="dxa" w:w="1440"/>
          </w:tcPr>
          <w:p>
            <w:r>
              <w:t>FULL</w:t>
            </w:r>
          </w:p>
        </w:tc>
        <w:tc>
          <w:tcPr>
            <w:tcW w:type="dxa" w:w="1440"/>
          </w:tcPr>
          <w:p>
            <w:r>
              <w:t>FULL 中位数</w:t>
            </w:r>
          </w:p>
        </w:tc>
      </w:tr>
      <w:tr>
        <w:tc>
          <w:tcPr>
            <w:tcW w:type="dxa" w:w="1440"/>
          </w:tcPr>
          <w:p>
            <w:r>
              <w:t>短 (&lt;5μs)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</w:tr>
      <w:tr>
        <w:tc>
          <w:tcPr>
            <w:tcW w:type="dxa" w:w="1440"/>
          </w:tcPr>
          <w:p>
            <w:r>
              <w:t>中 (5~100μs)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</w:tr>
      <w:tr>
        <w:tc>
          <w:tcPr>
            <w:tcW w:type="dxa" w:w="1440"/>
          </w:tcPr>
          <w:p>
            <w:r>
              <w:t>长 (≥100μs)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  <w:tc>
          <w:tcPr>
            <w:tcW w:type="dxa" w:w="1440"/>
          </w:tcPr>
          <w:p>
            <w:r>
              <w:t>【待填】</w:t>
            </w:r>
          </w:p>
        </w:tc>
      </w:tr>
    </w:tbl>
    <w:p/>
    <w:p>
      <w:r>
        <w:rPr>
          <w:sz w:val="18"/>
        </w:rPr>
        <w:t>填充方式：实验结束后在 /workspace/Agent 下运行 python experiments/summarize.py，会自动生成 experiments/results/table4.md 与 table4.json，其中含真实数值，直接替换本表即可。</w:t>
      </w:r>
    </w:p>
    <w:p/>
    <w:p>
      <w:r>
        <w:rPr>
          <w:sz w:val="18"/>
        </w:rPr>
        <w:t>数学关系：GM(S) = GM(T_base / T_seed) × GM(F)。两者相差一个仅由数据集决定的常数因子，因此方法排序必然一致；GM(F) 剥离了数据集起点差异、纯粹反映搜索能力，GM(S) 反映端到端实际收益，故同时报告。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