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表4 主实验结果：与基线方法对比</w:t>
      </w:r>
    </w:p>
    <w:p>
      <w:r>
        <w:rPr>
          <w:sz w:val="18"/>
        </w:rPr>
        <w:t>实验设置：在官方原始种子集（50 个 Kernel）上比较四种方法。B0 为参考实现基线（不调用 LLM）；B1 为无策略引导的进化搜索；B2 为单轨迹迭代优化（爬山式，无种群）；FULL 为本文完整方法（策略驱动初始化 + Profiling 反馈 + RAG 知识库 + 进化搜索）。各方法均限定相同的 NPU 评测预算（每 Kernel 13 次），并在与参考实现相同的串行单设备协议下复测最终结果。F = T_seed / T_best（相对优化起点），S = T_base / T_best（相对参考实现），GM 为几何平均。</w:t>
      </w:r>
    </w:p>
    <w:p>
      <w:pPr>
        <w:pStyle w:val="Heading3"/>
      </w:pPr>
      <w:r>
        <w:t>（a）整体结果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GM(F)</w:t>
            </w:r>
          </w:p>
        </w:tc>
        <w:tc>
          <w:tcPr>
            <w:tcW w:type="dxa" w:w="1234"/>
          </w:tcPr>
          <w:p>
            <w:r>
              <w:t>GM(S)</w:t>
            </w:r>
          </w:p>
        </w:tc>
        <w:tc>
          <w:tcPr>
            <w:tcW w:type="dxa" w:w="1234"/>
          </w:tcPr>
          <w:p>
            <w:r>
              <w:t>中位数 F</w:t>
            </w:r>
          </w:p>
        </w:tc>
        <w:tc>
          <w:tcPr>
            <w:tcW w:type="dxa" w:w="1234"/>
          </w:tcPr>
          <w:p>
            <w:r>
              <w:t>中位数 S</w:t>
            </w:r>
          </w:p>
        </w:tc>
        <w:tc>
          <w:tcPr>
            <w:tcW w:type="dxa" w:w="1234"/>
          </w:tcPr>
          <w:p>
            <w:r>
              <w:t>参与 Kernel 数</w:t>
            </w:r>
          </w:p>
        </w:tc>
        <w:tc>
          <w:tcPr>
            <w:tcW w:type="dxa" w:w="1234"/>
          </w:tcPr>
          <w:p>
            <w:r>
              <w:t>LLM 调用数/算子</w:t>
            </w:r>
          </w:p>
        </w:tc>
      </w:tr>
      <w:tr>
        <w:tc>
          <w:tcPr>
            <w:tcW w:type="dxa" w:w="1234"/>
          </w:tcPr>
          <w:p>
            <w:r>
              <w:t>B0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1.0595</w:t>
            </w:r>
          </w:p>
        </w:tc>
        <w:tc>
          <w:tcPr>
            <w:tcW w:type="dxa" w:w="1234"/>
          </w:tcPr>
          <w:p>
            <w:r>
              <w:t>1.5236</w:t>
            </w:r>
          </w:p>
        </w:tc>
        <w:tc>
          <w:tcPr>
            <w:tcW w:type="dxa" w:w="1234"/>
          </w:tcPr>
          <w:p>
            <w:r>
              <w:t>0.9985</w:t>
            </w:r>
          </w:p>
        </w:tc>
        <w:tc>
          <w:tcPr>
            <w:tcW w:type="dxa" w:w="1234"/>
          </w:tcPr>
          <w:p>
            <w:r>
              <w:t>1.0190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17.02</w:t>
            </w:r>
          </w:p>
        </w:tc>
      </w:tr>
      <w:tr>
        <w:tc>
          <w:tcPr>
            <w:tcW w:type="dxa" w:w="1234"/>
          </w:tcPr>
          <w:p>
            <w:r>
              <w:t>B2</w:t>
            </w:r>
          </w:p>
        </w:tc>
        <w:tc>
          <w:tcPr>
            <w:tcW w:type="dxa" w:w="1234"/>
          </w:tcPr>
          <w:p>
            <w:r>
              <w:t>1.0814</w:t>
            </w:r>
          </w:p>
        </w:tc>
        <w:tc>
          <w:tcPr>
            <w:tcW w:type="dxa" w:w="1234"/>
          </w:tcPr>
          <w:p>
            <w:r>
              <w:t>1.5550</w:t>
            </w:r>
          </w:p>
        </w:tc>
        <w:tc>
          <w:tcPr>
            <w:tcW w:type="dxa" w:w="1234"/>
          </w:tcPr>
          <w:p>
            <w:r>
              <w:t>1.0001</w:t>
            </w:r>
          </w:p>
        </w:tc>
        <w:tc>
          <w:tcPr>
            <w:tcW w:type="dxa" w:w="1234"/>
          </w:tcPr>
          <w:p>
            <w:r>
              <w:t>1.0329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</w:tr>
      <w:tr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1.1689</w:t>
            </w:r>
          </w:p>
        </w:tc>
        <w:tc>
          <w:tcPr>
            <w:tcW w:type="dxa" w:w="1234"/>
          </w:tcPr>
          <w:p>
            <w:r>
              <w:t>1.6808</w:t>
            </w:r>
          </w:p>
        </w:tc>
        <w:tc>
          <w:tcPr>
            <w:tcW w:type="dxa" w:w="1234"/>
          </w:tcPr>
          <w:p>
            <w:r>
              <w:t>1.0200</w:t>
            </w:r>
          </w:p>
        </w:tc>
        <w:tc>
          <w:tcPr>
            <w:tcW w:type="dxa" w:w="1234"/>
          </w:tcPr>
          <w:p>
            <w:r>
              <w:t>1.0951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19.42</w:t>
            </w:r>
          </w:p>
        </w:tc>
      </w:tr>
    </w:tbl>
    <w:p>
      <w:pPr>
        <w:pStyle w:val="Heading3"/>
      </w:pPr>
      <w:r>
        <w:t>（b）按 Kernel 规模分组的 GM(S)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规模分组</w:t>
            </w:r>
          </w:p>
        </w:tc>
        <w:tc>
          <w:tcPr>
            <w:tcW w:type="dxa" w:w="1440"/>
          </w:tcPr>
          <w:p>
            <w:r>
              <w:t>Kernel 数</w:t>
            </w:r>
          </w:p>
        </w:tc>
        <w:tc>
          <w:tcPr>
            <w:tcW w:type="dxa" w:w="1440"/>
          </w:tcPr>
          <w:p>
            <w:r>
              <w:t>GM(S) B1</w:t>
            </w:r>
          </w:p>
        </w:tc>
        <w:tc>
          <w:tcPr>
            <w:tcW w:type="dxa" w:w="1440"/>
          </w:tcPr>
          <w:p>
            <w:r>
              <w:t>GM(S) B2</w:t>
            </w:r>
          </w:p>
        </w:tc>
        <w:tc>
          <w:tcPr>
            <w:tcW w:type="dxa" w:w="1440"/>
          </w:tcPr>
          <w:p>
            <w:r>
              <w:t>GM(S) FULL</w:t>
            </w:r>
          </w:p>
        </w:tc>
        <w:tc>
          <w:tcPr>
            <w:tcW w:type="dxa" w:w="1440"/>
          </w:tcPr>
          <w:p>
            <w:r>
              <w:t>中位数 S (FULL)</w:t>
            </w:r>
          </w:p>
        </w:tc>
      </w:tr>
      <w:tr>
        <w:tc>
          <w:tcPr>
            <w:tcW w:type="dxa" w:w="1440"/>
          </w:tcPr>
          <w:p>
            <w:r>
              <w:t>短 (&lt;5μs)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1.0475</w:t>
            </w:r>
          </w:p>
        </w:tc>
        <w:tc>
          <w:tcPr>
            <w:tcW w:type="dxa" w:w="1440"/>
          </w:tcPr>
          <w:p>
            <w:r>
              <w:t>1.0544</w:t>
            </w:r>
          </w:p>
        </w:tc>
        <w:tc>
          <w:tcPr>
            <w:tcW w:type="dxa" w:w="1440"/>
          </w:tcPr>
          <w:p>
            <w:r>
              <w:t>1.1075</w:t>
            </w:r>
          </w:p>
        </w:tc>
        <w:tc>
          <w:tcPr>
            <w:tcW w:type="dxa" w:w="1440"/>
          </w:tcPr>
          <w:p>
            <w:r>
              <w:t>1.0236</w:t>
            </w:r>
          </w:p>
        </w:tc>
      </w:tr>
      <w:tr>
        <w:tc>
          <w:tcPr>
            <w:tcW w:type="dxa" w:w="1440"/>
          </w:tcPr>
          <w:p>
            <w:r>
              <w:t>中 (5~100μs)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1.5269</w:t>
            </w:r>
          </w:p>
        </w:tc>
        <w:tc>
          <w:tcPr>
            <w:tcW w:type="dxa" w:w="1440"/>
          </w:tcPr>
          <w:p>
            <w:r>
              <w:t>1.6372</w:t>
            </w:r>
          </w:p>
        </w:tc>
        <w:tc>
          <w:tcPr>
            <w:tcW w:type="dxa" w:w="1440"/>
          </w:tcPr>
          <w:p>
            <w:r>
              <w:t>1.7632</w:t>
            </w:r>
          </w:p>
        </w:tc>
        <w:tc>
          <w:tcPr>
            <w:tcW w:type="dxa" w:w="1440"/>
          </w:tcPr>
          <w:p>
            <w:r>
              <w:t>1.4836</w:t>
            </w:r>
          </w:p>
        </w:tc>
      </w:tr>
      <w:tr>
        <w:tc>
          <w:tcPr>
            <w:tcW w:type="dxa" w:w="1440"/>
          </w:tcPr>
          <w:p>
            <w:r>
              <w:t>长 (≥100μs)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4.4812</w:t>
            </w:r>
          </w:p>
        </w:tc>
        <w:tc>
          <w:tcPr>
            <w:tcW w:type="dxa" w:w="1440"/>
          </w:tcPr>
          <w:p>
            <w:r>
              <w:t>4.3849</w:t>
            </w:r>
          </w:p>
        </w:tc>
        <w:tc>
          <w:tcPr>
            <w:tcW w:type="dxa" w:w="1440"/>
          </w:tcPr>
          <w:p>
            <w:r>
              <w:t>5.1802</w:t>
            </w:r>
          </w:p>
        </w:tc>
        <w:tc>
          <w:tcPr>
            <w:tcW w:type="dxa" w:w="1440"/>
          </w:tcPr>
          <w:p>
            <w:r>
              <w:t>2.8704</w:t>
            </w:r>
          </w:p>
        </w:tc>
      </w:tr>
    </w:tbl>
    <w:p>
      <w:pPr>
        <w:pStyle w:val="Heading3"/>
      </w:pPr>
      <w:r>
        <w:t>结果分析</w:t>
      </w:r>
    </w:p>
    <w:p>
      <w:r>
        <w:rPr>
          <w:sz w:val="20"/>
        </w:rPr>
        <w:t>（1）FULL 在整体与全部三个规模分组上均取得最优 GM(S)：整体 GM(S)=1.6808，分别高于 B2（1.5550）8.1% 与 B1（1.5236）10.3%。说明策略驱动初始化与 Profiling、RAG 的协同作用是有效的，而非单纯依赖更大的搜索预算。</w:t>
      </w:r>
    </w:p>
    <w:p>
      <w:r>
        <w:rPr>
          <w:sz w:val="20"/>
        </w:rPr>
        <w:t>（2）分组结果显示，方法间差异随 Kernel 规模增大而扩大：短 Kernel（&lt;5μs）上 FULL 的 GM(S) 为 1.1075，中长 Kernel（5~100μs）为 1.7632，长 Kernel（≥100μs）达到 5.1802。原因是超短 Kernel 的绝对执行时间已接近硬件与框架开销下限，可优化空间有限。</w:t>
      </w:r>
    </w:p>
    <w:p>
      <w:r>
        <w:rPr>
          <w:sz w:val="20"/>
        </w:rPr>
        <w:t>（3）需注意的是，GM(S) 与中位数 S 之间存在明显差距（FULL：GM 1.6808 vs 中位数 1.0951，相差 0.5857）。这表明整体加速比在较大程度上由少数优化空间极大的 Kernel 贡献；多数 Kernel 的增益在 1.0~1.1 倍量级。因此在引用 GM 指标时应同时报告中位数，避免高估方法的普适增益。</w:t>
      </w:r>
    </w:p>
    <w:p>
      <w:r>
        <w:rPr>
          <w:sz w:val="20"/>
        </w:rPr>
        <w:t>（4）在相同评测预算下，FULL 的 LLM 调用数为 19.42 次/算子，高于 B1（17.02）与 B2（13.00），额外开销来自策略生成与 Profiling 诊断环节；考虑到其带来的加速比提升，该开销在自动优化场景下是可接受的。</w:t>
      </w:r>
    </w:p>
    <w:p/>
    <w:p>
      <w:r>
        <w:rPr>
          <w:sz w:val="18"/>
        </w:rPr>
        <w:t>注：F = T_seed / T_best，S = T_base / T_best；GM 为几何平均；N_used 为最终参与统计的 Kernel 数。官方原始种子集中有部分文件在当前环境无法运行，已用同源可运行版本替换，并在附录中列出替换清单。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