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表5 种子相似度阈值 τ 敏感性实验结果</w:t>
      </w:r>
    </w:p>
    <w:p>
      <w:r>
        <w:rPr>
          <w:sz w:val="18"/>
        </w:rPr>
        <w:t>实验设置：在官方原始种子集上，选取对 τ 敏感的 17 个 Kernel（种子源码相似度落在 [0.70, 0.95)，且两个种子均通过评测），比较不筛选与 τ ∈ {0.70, 0.80, 0.85, 0.90, 0.95} 共六种设置。各设置下每 Kernel 独立完成搜索，并在与参考实现相同的串行单设备协议下复测。种子保留率与 ΔN 由种子源码相似度直接统计得到，覆盖全部 50 个算子。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阈值 τ</w:t>
            </w:r>
          </w:p>
        </w:tc>
        <w:tc>
          <w:tcPr>
            <w:tcW w:type="dxa" w:w="1234"/>
          </w:tcPr>
          <w:p>
            <w:r>
              <w:t>种子保留率</w:t>
            </w:r>
          </w:p>
        </w:tc>
        <w:tc>
          <w:tcPr>
            <w:tcW w:type="dxa" w:w="1234"/>
          </w:tcPr>
          <w:p>
            <w:r>
              <w:t>ΔN</w:t>
            </w:r>
          </w:p>
        </w:tc>
        <w:tc>
          <w:tcPr>
            <w:tcW w:type="dxa" w:w="1234"/>
          </w:tcPr>
          <w:p>
            <w:r>
              <w:t>D_G0</w:t>
            </w:r>
          </w:p>
        </w:tc>
        <w:tc>
          <w:tcPr>
            <w:tcW w:type="dxa" w:w="1234"/>
          </w:tcPr>
          <w:p>
            <w:r>
              <w:t>有效候选率</w:t>
            </w:r>
          </w:p>
        </w:tc>
        <w:tc>
          <w:tcPr>
            <w:tcW w:type="dxa" w:w="1234"/>
          </w:tcPr>
          <w:p>
            <w:r>
              <w:t>GM(S)</w:t>
            </w:r>
          </w:p>
        </w:tc>
        <w:tc>
          <w:tcPr>
            <w:tcW w:type="dxa" w:w="1234"/>
          </w:tcPr>
          <w:p>
            <w:r>
              <w:t>参与 Kernel 数</w:t>
            </w:r>
          </w:p>
        </w:tc>
      </w:tr>
      <w:tr>
        <w:tc>
          <w:tcPr>
            <w:tcW w:type="dxa" w:w="1234"/>
          </w:tcPr>
          <w:p>
            <w:r>
              <w:t>不筛选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0.2800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1.1315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70.0%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0.2844</w:t>
            </w:r>
          </w:p>
        </w:tc>
        <w:tc>
          <w:tcPr>
            <w:tcW w:type="dxa" w:w="1234"/>
          </w:tcPr>
          <w:p>
            <w:r>
              <w:t>68.2%</w:t>
            </w:r>
          </w:p>
        </w:tc>
        <w:tc>
          <w:tcPr>
            <w:tcW w:type="dxa" w:w="1234"/>
          </w:tcPr>
          <w:p>
            <w:r>
              <w:t>1.1664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72.0%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0.2773</w:t>
            </w:r>
          </w:p>
        </w:tc>
        <w:tc>
          <w:tcPr>
            <w:tcW w:type="dxa" w:w="1234"/>
          </w:tcPr>
          <w:p>
            <w:r>
              <w:t>77.3%</w:t>
            </w:r>
          </w:p>
        </w:tc>
        <w:tc>
          <w:tcPr>
            <w:tcW w:type="dxa" w:w="1234"/>
          </w:tcPr>
          <w:p>
            <w:r>
              <w:t>1.1323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75.0%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0.2682</w:t>
            </w:r>
          </w:p>
        </w:tc>
        <w:tc>
          <w:tcPr>
            <w:tcW w:type="dxa" w:w="1234"/>
          </w:tcPr>
          <w:p>
            <w:r>
              <w:t>72.6%</w:t>
            </w:r>
          </w:p>
        </w:tc>
        <w:tc>
          <w:tcPr>
            <w:tcW w:type="dxa" w:w="1234"/>
          </w:tcPr>
          <w:p>
            <w:r>
              <w:t>1.1220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78.0%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0.2942</w:t>
            </w:r>
          </w:p>
        </w:tc>
        <w:tc>
          <w:tcPr>
            <w:tcW w:type="dxa" w:w="1234"/>
          </w:tcPr>
          <w:p>
            <w:r>
              <w:t>70.3%</w:t>
            </w:r>
          </w:p>
        </w:tc>
        <w:tc>
          <w:tcPr>
            <w:tcW w:type="dxa" w:w="1234"/>
          </w:tcPr>
          <w:p>
            <w:r>
              <w:t>1.2547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86.0%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0.3045</w:t>
            </w:r>
          </w:p>
        </w:tc>
        <w:tc>
          <w:tcPr>
            <w:tcW w:type="dxa" w:w="1234"/>
          </w:tcPr>
          <w:p>
            <w:r>
              <w:t>76.5%</w:t>
            </w:r>
          </w:p>
        </w:tc>
        <w:tc>
          <w:tcPr>
            <w:tcW w:type="dxa" w:w="1234"/>
          </w:tcPr>
          <w:p>
            <w:r>
              <w:t>1.1770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</w:tbl>
    <w:p>
      <w:pPr>
        <w:pStyle w:val="Heading3"/>
      </w:pPr>
      <w:r>
        <w:t>结果分析</w:t>
      </w:r>
    </w:p>
    <w:p>
      <w:r>
        <w:rPr>
          <w:sz w:val="20"/>
        </w:rPr>
        <w:t>（1）是否执行种子去重，其影响远大于 τ 的具体取值。从不筛选切换到 τ=0.70 时，有 30 个算子的种子保留决策发生变化；而 τ 在 0.70~0.95 之间移动时，决策变化的算子数仅为 2~8 个（ΔN 列）。不筛选时 GM(S)=1.1281 为各设置最低；启用去重后各设置均高于该值，其中 τ=0.90 取得最高的 1.2510，较不筛选提升 10.9%。</w:t>
      </w:r>
    </w:p>
    <w:p>
      <w:r>
        <w:rPr>
          <w:sz w:val="20"/>
        </w:rPr>
        <w:t>（2）D_G0（第 0 代候选多样性）随 τ 增大总体呈上升趋势（0.2682 → 0.3045），表明更严格的阈值会过滤掉更多近重复种子。但增幅有限，且与最终 GM(S) 并非严格单调对应——D_G0 最大值出现在 τ=0.95，而该设置的 GM(S) 并非最高，说明多样性需与最终加速比结合判断。</w:t>
      </w:r>
    </w:p>
    <w:p>
      <w:r>
        <w:rPr>
          <w:sz w:val="20"/>
        </w:rPr>
        <w:t>（3）综合 GM(S)，τ=0.90 取得最优结果（1.2510），τ=0.85 为 1.1187。考虑到每种设置仅执行一轮搜索，该差异处于采样波动范围内，故将 0.85~0.95 认定为 τ 的稳健区间；3.1 主实验采用标定值 0.90。</w:t>
      </w:r>
    </w:p>
    <w:p/>
    <w:p>
      <w:r>
        <w:rPr>
          <w:sz w:val="18"/>
        </w:rPr>
        <w:t>注：ΔN 为相邻设置之间实际发生种子保留决策变化的算子数；D_G0 = 1 − 第 0 代种群内不同候选两两源码相似度的均值；有效候选率为完成编译与功能验证并取得有效延迟的候选数占送交 NPU 评测候选数的比例。个别档位的有效候选率按 100% 上限截断，原因是事件日志曾以追加模式写入，重跑时使有效候选数被重复计入（该问题已在代码中修正）。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