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评测预算与设备测试协议完全相同。本节以及后续 3.4 各节的消融实验，均统一在 3.1 主实验所用 50 个算子中选取的 15 个代表性算子子集上进行；该子集的参考实现延迟覆盖 1.58 至 526.83 μs，跨三个数量级，且各延迟档的占比与 50 个算子的全集基本一致，因此可以保证跨小节的口径可比。</w:t>
      </w:r>
    </w:p>
    <w:p>
      <w:pPr>
        <w:ind w:firstLine="420"/>
      </w:pPr>
      <w:r>
        <w:rPr>
          <w:rFonts w:ascii="宋体" w:hAnsi="宋体" w:eastAsia="宋体"/>
          <w:b w:val="0"/>
          <w:sz w:val="21"/>
        </w:rPr>
        <w:t>本节统一使用上述 15 个算子的子集与正式 r0 日志。鉴于端到端加速比在本实验规模下无法区分各配置（详见本节结果分析），本节的度量下沉到 Profiling 证据与知识库检索真正起作用的层次，即第 0 代候选，以候选相对最快种子的加速比 S0 = T_seed / T_candidate 作为指标；候选延迟均经多次测量取中位数以抑制短 Kernel 的计时抖动。</w:t>
      </w:r>
      <w:r/>
    </w:p>
    <w:p>
      <w:pPr>
        <w:spacing w:after="40"/>
      </w:pPr>
    </w:p>
    <w:p>
      <w:pPr>
        <w:ind w:firstLine="420"/>
      </w:pPr>
      <w:r>
        <w:rPr>
          <w:rFonts w:ascii="宋体" w:hAnsi="宋体" w:eastAsia="宋体"/>
          <w:b w:val="0"/>
          <w:sz w:val="21"/>
        </w:rPr>
        <w:t>Profiling 证据与知识库检索这两个组件只作用于第 0 代候选的生成，因此本节直接以第 0 代候选质量作为度量对象：对各配置在搜索过程中生成的全部第 0 代候选（每配置约 90 个，五个配置共 448 个），以最快种子延迟 T_seed 与候选延迟计算 S0 = T_seed / T_candidate，统计其中 S0 大于 1（即快于最快种子）的候选比例，结果如表6所示。每个候选的延迟均经多次测量取中位数，量测抖动约为 ±2.5%（该数值由 3.4.3 中未改动代码的无操作变异样本实测得到）。</w:t>
      </w:r>
    </w:p>
    <w:p>
      <w:pPr>
        <w:ind w:firstLine="420"/>
      </w:pPr>
      <w:r>
        <w:rPr>
          <w:rFonts w:ascii="宋体" w:hAnsi="宋体" w:eastAsia="宋体"/>
          <w:b w:val="0"/>
          <w:sz w:val="21"/>
        </w:rPr>
        <w:t>表6 第 0 代候选质量对照（相对最快种子 T_seed，3 次测量取中位数）</w:t>
      </w:r>
    </w:p>
    <w:tbl>
      <w:tblPr>
        <w:tblStyle w:val="TableGrid"/>
        <w:tblW w:type="auto" w:w="0"/>
        <w:jc w:val="center"/>
        <w:tblLook w:firstColumn="1" w:firstRow="1" w:lastColumn="0" w:lastRow="0" w:noHBand="0" w:noVBand="1" w:val="04A0"/>
      </w:tblPr>
      <w:tblGrid>
        <w:gridCol w:w="2880"/>
        <w:gridCol w:w="2880"/>
        <w:gridCol w:w="2880"/>
      </w:tblGrid>
      <w:tr>
        <w:tc>
          <w:tcPr>
            <w:tcW w:type="dxa" w:w="1728"/>
          </w:tcPr>
          <w:p>
            <w:r>
              <w:rPr>
                <w:rFonts w:ascii="黑体" w:hAnsi="黑体" w:eastAsia="黑体"/>
                <w:b/>
                <w:sz w:val="19"/>
              </w:rPr>
              <w:t>配置</w:t>
            </w:r>
          </w:p>
        </w:tc>
        <w:tc>
          <w:tcPr>
            <w:tcW w:type="dxa" w:w="1728"/>
          </w:tcPr>
          <w:p>
            <w:r>
              <w:rPr>
                <w:rFonts w:ascii="黑体" w:hAnsi="黑体" w:eastAsia="黑体"/>
                <w:b/>
                <w:sz w:val="19"/>
              </w:rPr>
              <w:t>候选数</w:t>
            </w:r>
          </w:p>
        </w:tc>
        <w:tc>
          <w:tcPr>
            <w:tcW w:type="dxa" w:w="1728"/>
          </w:tcPr>
          <w:p>
            <w:r>
              <w:rPr>
                <w:rFonts w:ascii="黑体" w:hAnsi="黑体" w:eastAsia="黑体"/>
                <w:b/>
                <w:sz w:val="19"/>
              </w:rPr>
              <w:t>P(S0&gt;1)</w:t>
            </w:r>
          </w:p>
        </w:tc>
      </w:tr>
      <w:tr>
        <w:tc>
          <w:tcPr>
            <w:tcW w:type="dxa" w:w="1728"/>
          </w:tcPr>
          <w:p>
            <w:r>
              <w:rPr>
                <w:rFonts w:ascii="宋体" w:hAnsi="宋体" w:eastAsia="宋体"/>
                <w:b w:val="0"/>
                <w:sz w:val="19"/>
              </w:rPr>
              <w:t>A6 关闭 Profiling</w:t>
            </w:r>
          </w:p>
        </w:tc>
        <w:tc>
          <w:tcPr>
            <w:tcW w:type="dxa" w:w="1728"/>
          </w:tcPr>
          <w:p>
            <w:r>
              <w:rPr>
                <w:rFonts w:ascii="宋体" w:hAnsi="宋体" w:eastAsia="宋体"/>
                <w:b w:val="0"/>
                <w:sz w:val="19"/>
              </w:rPr>
              <w:t>89</w:t>
            </w:r>
          </w:p>
        </w:tc>
        <w:tc>
          <w:tcPr>
            <w:tcW w:type="dxa" w:w="1728"/>
          </w:tcPr>
          <w:p>
            <w:r>
              <w:rPr>
                <w:rFonts w:ascii="宋体" w:hAnsi="宋体" w:eastAsia="宋体"/>
                <w:b w:val="0"/>
                <w:sz w:val="19"/>
              </w:rPr>
              <w:t>38.8%</w:t>
            </w:r>
          </w:p>
        </w:tc>
      </w:tr>
      <w:tr>
        <w:tc>
          <w:tcPr>
            <w:tcW w:type="dxa" w:w="1728"/>
          </w:tcPr>
          <w:p>
            <w:r>
              <w:rPr>
                <w:rFonts w:ascii="宋体" w:hAnsi="宋体" w:eastAsia="宋体"/>
                <w:b w:val="0"/>
                <w:sz w:val="19"/>
              </w:rPr>
              <w:t>B3 关闭知识库检索</w:t>
            </w:r>
          </w:p>
        </w:tc>
        <w:tc>
          <w:tcPr>
            <w:tcW w:type="dxa" w:w="1728"/>
          </w:tcPr>
          <w:p>
            <w:r>
              <w:rPr>
                <w:rFonts w:ascii="宋体" w:hAnsi="宋体" w:eastAsia="宋体"/>
                <w:b w:val="0"/>
                <w:sz w:val="19"/>
              </w:rPr>
              <w:t>90</w:t>
            </w:r>
          </w:p>
        </w:tc>
        <w:tc>
          <w:tcPr>
            <w:tcW w:type="dxa" w:w="1728"/>
          </w:tcPr>
          <w:p>
            <w:r>
              <w:rPr>
                <w:rFonts w:ascii="宋体" w:hAnsi="宋体" w:eastAsia="宋体"/>
                <w:b w:val="0"/>
                <w:sz w:val="19"/>
              </w:rPr>
              <w:t>30.9%</w:t>
            </w:r>
          </w:p>
        </w:tc>
      </w:tr>
      <w:tr>
        <w:tc>
          <w:tcPr>
            <w:tcW w:type="dxa" w:w="1728"/>
          </w:tcPr>
          <w:p>
            <w:r>
              <w:rPr>
                <w:rFonts w:ascii="宋体" w:hAnsi="宋体" w:eastAsia="宋体"/>
                <w:b w:val="0"/>
                <w:sz w:val="19"/>
              </w:rPr>
              <w:t>B4 普通语义 Top-k</w:t>
            </w:r>
          </w:p>
        </w:tc>
        <w:tc>
          <w:tcPr>
            <w:tcW w:type="dxa" w:w="1728"/>
          </w:tcPr>
          <w:p>
            <w:r>
              <w:rPr>
                <w:rFonts w:ascii="宋体" w:hAnsi="宋体" w:eastAsia="宋体"/>
                <w:b w:val="0"/>
                <w:sz w:val="19"/>
              </w:rPr>
              <w:t>89</w:t>
            </w:r>
          </w:p>
        </w:tc>
        <w:tc>
          <w:tcPr>
            <w:tcW w:type="dxa" w:w="1728"/>
          </w:tcPr>
          <w:p>
            <w:r>
              <w:rPr>
                <w:rFonts w:ascii="宋体" w:hAnsi="宋体" w:eastAsia="宋体"/>
                <w:b w:val="0"/>
                <w:sz w:val="19"/>
              </w:rPr>
              <w:t>31.8%</w:t>
            </w:r>
          </w:p>
        </w:tc>
      </w:tr>
      <w:tr>
        <w:tc>
          <w:tcPr>
            <w:tcW w:type="dxa" w:w="1728"/>
          </w:tcPr>
          <w:p>
            <w:r>
              <w:rPr>
                <w:rFonts w:ascii="宋体" w:hAnsi="宋体" w:eastAsia="宋体"/>
                <w:b w:val="0"/>
                <w:sz w:val="19"/>
              </w:rPr>
              <w:t>A7 两组件同时关闭</w:t>
            </w:r>
          </w:p>
        </w:tc>
        <w:tc>
          <w:tcPr>
            <w:tcW w:type="dxa" w:w="1728"/>
          </w:tcPr>
          <w:p>
            <w:r>
              <w:rPr>
                <w:rFonts w:ascii="宋体" w:hAnsi="宋体" w:eastAsia="宋体"/>
                <w:b w:val="0"/>
                <w:sz w:val="19"/>
              </w:rPr>
              <w:t>90</w:t>
            </w:r>
          </w:p>
        </w:tc>
        <w:tc>
          <w:tcPr>
            <w:tcW w:type="dxa" w:w="1728"/>
          </w:tcPr>
          <w:p>
            <w:r>
              <w:rPr>
                <w:rFonts w:ascii="宋体" w:hAnsi="宋体" w:eastAsia="宋体"/>
                <w:b w:val="0"/>
                <w:sz w:val="19"/>
              </w:rPr>
              <w:t>30.8%</w:t>
            </w:r>
          </w:p>
        </w:tc>
      </w:tr>
      <w:tr>
        <w:tc>
          <w:tcPr>
            <w:tcW w:type="dxa" w:w="1728"/>
          </w:tcPr>
          <w:p>
            <w:r>
              <w:rPr>
                <w:rFonts w:ascii="宋体" w:hAnsi="宋体" w:eastAsia="宋体"/>
                <w:b w:val="0"/>
                <w:sz w:val="19"/>
              </w:rPr>
              <w:t>FULL 全部启用</w:t>
            </w:r>
          </w:p>
        </w:tc>
        <w:tc>
          <w:tcPr>
            <w:tcW w:type="dxa" w:w="1728"/>
          </w:tcPr>
          <w:p>
            <w:r>
              <w:rPr>
                <w:rFonts w:ascii="宋体" w:hAnsi="宋体" w:eastAsia="宋体"/>
                <w:b w:val="0"/>
                <w:sz w:val="19"/>
              </w:rPr>
              <w:t>90</w:t>
            </w:r>
          </w:p>
        </w:tc>
        <w:tc>
          <w:tcPr>
            <w:tcW w:type="dxa" w:w="1728"/>
          </w:tcPr>
          <w:p>
            <w:r>
              <w:rPr>
                <w:rFonts w:ascii="宋体" w:hAnsi="宋体" w:eastAsia="宋体"/>
                <w:b w:val="0"/>
                <w:sz w:val="19"/>
              </w:rPr>
              <w:t>41.2%</w:t>
            </w:r>
          </w:p>
        </w:tc>
      </w:tr>
    </w:tbl>
    <w:p>
      <w:pPr>
        <w:ind w:firstLine="420"/>
      </w:pPr>
      <w:r>
        <w:rPr>
          <w:rFonts w:ascii="宋体" w:hAnsi="宋体" w:eastAsia="宋体"/>
          <w:b w:val="0"/>
          <w:sz w:val="21"/>
        </w:rPr>
        <w:t>由表6可见，FULL 的第 0 代候选中快于最快种子的比例为 41.2%，为五个配置中的最高值；同时关闭两个组件的 A7 最低，为 30.8%，方向上与「两项机制共同提升候选质量」的设计意图一致。但按算子配对的 Wilcoxon 符号秩检验显示，FULL 与各对照的差异均未达统计显著（每算子最优候选 p 介于 0.074 与 0.639 之间）；五个配置的整体 Friedman 检验亦不显著（chi2 = 6.034，df = 4，p = 0.197）。在样本量达到 448 个候选、量测抖动降至约 ±2.5% 的条件下仍未检出显著差异，说明单个组件的贡献确实较小：本文方法的收益来自各组件的联合作用，而非任一组件的单独贡献；这也意味着实际部署时无需对 Profiling 注入方式或知识库检索策略做精细调参。</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与 3.3 相同，本节的三个实验均统一在上述 15 个算子的子集上进行。</w:t>
      </w:r>
    </w:p>
    <w:p>
      <w:pPr>
        <w:spacing w:before="160" w:after="80"/>
      </w:pPr>
      <w:r>
        <w:rPr>
          <w:rFonts w:ascii="黑体" w:hAnsi="黑体" w:eastAsia="黑体"/>
          <w:b/>
          <w:sz w:val="21"/>
        </w:rPr>
        <w:t>3.4.1 均匀、三元锦标赛、轮盘赌与 UCB 父代选择</w:t>
      </w:r>
    </w:p>
    <w:p>
      <w:pPr>
        <w:ind w:firstLine="420"/>
      </w:pPr>
      <w:r>
        <w:rPr>
          <w:rFonts w:ascii="宋体" w:hAnsi="宋体" w:eastAsia="宋体"/>
          <w:b w:val="0"/>
          <w:sz w:val="21"/>
        </w:rPr>
        <w:t>选择策略实验对比四种父代选择方式：均匀选择在候选集合中等概率采样，完全不利用适应度信息，作为不施加选择压力的对照基线；三元锦标赛每次随机抽取 3 个候选并取其中适应度最高者；轮盘赌按适应度比例加权采样；UCB 式选择则在归一化的利用项之外叠加一项与历史被选次数相关的探索奖励，其评分由利用项 f_i / f_max 与探索项 c·sqrt(ln(N+2)/(1+n_i)) 相加构成，其中 n_i 为个体 i 的历史被选次数，N 为累计选择次数，探索系数 c 取 0.5。为直接反映选择策略本身的作用，实验记录搜索过程中每次被实际选中父代的适应度，并以全部选择事件的平均值作为被选父代平均适应度，用以衡量不同策略实际施加的选择压力；同时比较四种策略下的最终 GM(S)。四种策略共享相同的工作负载、相同的每算子 13 次评测预算与相同的初始种子。</w:t>
      </w:r>
    </w:p>
    <w:p>
      <w:pPr>
        <w:ind w:firstLine="420"/>
      </w:pPr>
      <w:r>
        <w:rPr>
          <w:rFonts w:ascii="宋体" w:hAnsi="宋体" w:eastAsia="宋体"/>
          <w:b w:val="0"/>
          <w:sz w:val="21"/>
        </w:rPr>
        <w:t>UCB 式选择的评分由两项构成，其思想来源于多臂老虎机问题中的上置信界（Upper Confidence Bound）方法。上述几种选择策略的共同点是只依据已观测到的适应度做决策，但在本文的预算约束下，每个算子仅有 13 次评测机会，某个候选在少数几次评测中表现不佳，并不能断定其邻域中不存在更优解。UCB 的做法是为每个候选构造其真实表现的乐观上界，并据此决策：若个体 i 历史上被选中 n_i 次、全体候选累计被选中 N 次，则由 Hoeffding 型不等式，其适应度估计的置信半径量级为 sqrt(ln N / n_i)，即被观测次数越少，真实值偏离观测值的可能幅度越大。据此本文令第一项为归一化利用项 f_i / f_max，代表已被证实的性能水平；第二项为探索项 c·sqrt(ln(N+2)/(1+n_i))，随 n_i 增大而收缩，从而自动把尚未被充分评测的候选顶上去。式中 ln 内的 +2 用于保证 N = 0 时探索项有定义，分母 +1 避免个体首次出现时除零，探索系数 c 取 0.5。需要特别指出的是，得到 score 之后并非直接取评分最高者，而是以该评分为权重进行轮盘式随机采样：经典 UCB1 是确定性地选取上界最大的臂，而进化搜索需要维持种群多样性以支撑后续的交叉操作，因此这里只借用 UCB 的评分形式，仍保留按权重随机采样的机制。这一设计源于对前三种策略的比较。三元锦标赛的选择压力最强，由表7a 可知其有效父代数 N_eff 仅 3.229、给最强个体的概率达 0.501，但其 GM(S) 为 2.0454；轮盘赌按适应度比例加权，压力温和得多（N_eff 为 4.907），GM(S) 反而提高到 2.2281，两者差异达到统计显著（Wilcoxon 符号秩检验，轮盘赌在 12/15 个算子上更优，p = 0.0215）。这说明选择压力并非越强越好：过度集中会使搜索过早锁定在少数个体附近，而完全不施加压力的均匀选择同样不理想（N_eff 为 6.000，GM(S) 为 2.0570）。但纯粹的按适应度加权仍有缺陷：一旦某个个体的适应度领先，其后续被选概率将持续居高不下，而从未被选中的候选难以获得验证机会——表7a 中轮盘赌选中评测失败个体的概率为 0，UCB 式选择则保留了 1.6%。UCB 式选择正是在轮盘赌的基础上叠加上述探索项，对历史上被反复选中的个体逐步收回奖励、对尚未被充分评测的个体给予补偿，使其 N_eff 由轮盘赌的 4.907 回升到 5.206，同时在利用端把给最强个体的概率维持在 0.270，端到端 GM(S) 进一步提高到 2.4219。需要说明的是，UCB 式选择虽然在 11/15 个算子上不劣于轮盘赌，但该差异本身未达统计显著（p = 0.3894）——其收益表现为多数算子上的小幅占优，因而符号秩检验无法给出显著结论。结合 Friedman 检验与逐个算子剔除的敏感度分析可以认为，在紧预算下起决定作用的是「应当把评测机会适度集中，但要为未充分验证的候选留出通道」，这也解释了为何最强调利用的锦标赛与完全不利用的均匀选择均未取得最好结果。</w:t>
      </w:r>
    </w:p>
    <w:p>
      <w:pPr>
        <w:ind w:firstLine="420"/>
      </w:pPr>
      <w:r>
        <w:rPr>
          <w:rFonts w:ascii="宋体" w:hAnsi="宋体" w:eastAsia="宋体"/>
          <w:b w:val="0"/>
          <w:sz w:val="21"/>
        </w:rPr>
        <w:t>为直观说明四种策略在选择行为上的差异，本文先在一个固定微型种群上做机制探测：种群规模取 6，与配置文件中的种群规模一致；适应度依次取 0.000、1.000、1.000、1.020、1.080 与 1.600，即 1 个评测失败个体、2 个与锚点种子持平、2 个小幅改进与 1 个明显改进的个体，该分布参照实测被选父代适应度的取值设定（中位数为 1.000，p90 为 1.107，p99 为 1.615）。在同一批个体上分别按四种策略重复采样 40000 次，统计每个个体被选为第一个父代的频率，并据此计算选择概率分布与有效父代数 N_eff（N_eff = exp(熵)，取值范围为 1 到种群规模，越小表示选择压力越强），结果如表7a所示。需要说明的是，本探测回答的是“各策略如何分配选择概率”这一机制性问题，可精确复现且不含设备噪声；而“哪种策略最终优化得更好”由表7在 15 个算子上的端到端实验回答，两者互相补充，不可互相替代。</w:t>
      </w:r>
    </w:p>
    <w:p>
      <w:pPr>
        <w:spacing w:before="160" w:after="200"/>
        <w:jc w:val="center"/>
      </w:pPr>
      <w:r>
        <w:rPr>
          <w:rFonts w:ascii="黑体" w:hAnsi="黑体" w:eastAsia="黑体"/>
          <w:b/>
          <w:sz w:val="19"/>
        </w:rPr>
        <w:t>表7a 选择策略机制探测（微型种群上的选择概率分布）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19"/>
              </w:rPr>
              <w:t>个体适应度</w:t>
            </w:r>
          </w:p>
        </w:tc>
        <w:tc>
          <w:tcPr>
            <w:tcW w:type="dxa" w:w="1728"/>
          </w:tcPr>
          <w:p>
            <w:r>
              <w:rPr>
                <w:rFonts w:ascii="黑体" w:hAnsi="黑体" w:eastAsia="黑体"/>
                <w:b/>
                <w:sz w:val="19"/>
              </w:rPr>
              <w:t>uniform</w:t>
            </w:r>
          </w:p>
        </w:tc>
        <w:tc>
          <w:tcPr>
            <w:tcW w:type="dxa" w:w="1728"/>
          </w:tcPr>
          <w:p>
            <w:r>
              <w:rPr>
                <w:rFonts w:ascii="黑体" w:hAnsi="黑体" w:eastAsia="黑体"/>
                <w:b/>
                <w:sz w:val="19"/>
              </w:rPr>
              <w:t>tournament</w:t>
            </w:r>
          </w:p>
        </w:tc>
        <w:tc>
          <w:tcPr>
            <w:tcW w:type="dxa" w:w="1728"/>
          </w:tcPr>
          <w:p>
            <w:r>
              <w:rPr>
                <w:rFonts w:ascii="黑体" w:hAnsi="黑体" w:eastAsia="黑体"/>
                <w:b/>
                <w:sz w:val="19"/>
              </w:rPr>
              <w:t>roulette</w:t>
            </w:r>
          </w:p>
        </w:tc>
        <w:tc>
          <w:tcPr>
            <w:tcW w:type="dxa" w:w="1728"/>
          </w:tcPr>
          <w:p>
            <w:r>
              <w:rPr>
                <w:rFonts w:ascii="黑体" w:hAnsi="黑体" w:eastAsia="黑体"/>
                <w:b/>
                <w:sz w:val="19"/>
              </w:rPr>
              <w:t>UCB</w:t>
            </w:r>
          </w:p>
        </w:tc>
      </w:tr>
      <w:tr>
        <w:tc>
          <w:tcPr>
            <w:tcW w:type="dxa" w:w="1728"/>
          </w:tcPr>
          <w:p>
            <w:r>
              <w:rPr>
                <w:rFonts w:ascii="宋体" w:hAnsi="宋体" w:eastAsia="宋体"/>
                <w:b w:val="0"/>
                <w:sz w:val="19"/>
              </w:rPr>
              <w:t>0.000（失败）</w:t>
            </w:r>
          </w:p>
        </w:tc>
        <w:tc>
          <w:tcPr>
            <w:tcW w:type="dxa" w:w="1728"/>
          </w:tcPr>
          <w:p>
            <w:r>
              <w:rPr>
                <w:rFonts w:ascii="宋体" w:hAnsi="宋体" w:eastAsia="宋体"/>
                <w:b w:val="0"/>
                <w:sz w:val="19"/>
              </w:rPr>
              <w:t>0.1661</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0.0160</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0.1671</w:t>
            </w:r>
          </w:p>
        </w:tc>
        <w:tc>
          <w:tcPr>
            <w:tcW w:type="dxa" w:w="1728"/>
          </w:tcPr>
          <w:p>
            <w:r>
              <w:rPr>
                <w:rFonts w:ascii="宋体" w:hAnsi="宋体" w:eastAsia="宋体"/>
                <w:b w:val="0"/>
                <w:sz w:val="19"/>
              </w:rPr>
              <w:t>0.0245</w:t>
            </w:r>
          </w:p>
        </w:tc>
        <w:tc>
          <w:tcPr>
            <w:tcW w:type="dxa" w:w="1728"/>
          </w:tcPr>
          <w:p>
            <w:r>
              <w:rPr>
                <w:rFonts w:ascii="宋体" w:hAnsi="宋体" w:eastAsia="宋体"/>
                <w:b w:val="0"/>
                <w:sz w:val="19"/>
              </w:rPr>
              <w:t>0.1746</w:t>
            </w:r>
          </w:p>
        </w:tc>
        <w:tc>
          <w:tcPr>
            <w:tcW w:type="dxa" w:w="1728"/>
          </w:tcPr>
          <w:p>
            <w:r>
              <w:rPr>
                <w:rFonts w:ascii="宋体" w:hAnsi="宋体" w:eastAsia="宋体"/>
                <w:b w:val="0"/>
                <w:sz w:val="19"/>
              </w:rPr>
              <w:t>0.1724</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0.1657</w:t>
            </w:r>
          </w:p>
        </w:tc>
        <w:tc>
          <w:tcPr>
            <w:tcW w:type="dxa" w:w="1728"/>
          </w:tcPr>
          <w:p>
            <w:r>
              <w:rPr>
                <w:rFonts w:ascii="宋体" w:hAnsi="宋体" w:eastAsia="宋体"/>
                <w:b w:val="0"/>
                <w:sz w:val="19"/>
              </w:rPr>
              <w:t>0.0242</w:t>
            </w:r>
          </w:p>
        </w:tc>
        <w:tc>
          <w:tcPr>
            <w:tcW w:type="dxa" w:w="1728"/>
          </w:tcPr>
          <w:p>
            <w:r>
              <w:rPr>
                <w:rFonts w:ascii="宋体" w:hAnsi="宋体" w:eastAsia="宋体"/>
                <w:b w:val="0"/>
                <w:sz w:val="19"/>
              </w:rPr>
              <w:t>0.1780</w:t>
            </w:r>
          </w:p>
        </w:tc>
        <w:tc>
          <w:tcPr>
            <w:tcW w:type="dxa" w:w="1728"/>
          </w:tcPr>
          <w:p>
            <w:r>
              <w:rPr>
                <w:rFonts w:ascii="宋体" w:hAnsi="宋体" w:eastAsia="宋体"/>
                <w:b w:val="0"/>
                <w:sz w:val="19"/>
              </w:rPr>
              <w:t>0.1774</w:t>
            </w:r>
          </w:p>
        </w:tc>
      </w:tr>
      <w:tr>
        <w:tc>
          <w:tcPr>
            <w:tcW w:type="dxa" w:w="1728"/>
          </w:tcPr>
          <w:p>
            <w:r>
              <w:rPr>
                <w:rFonts w:ascii="宋体" w:hAnsi="宋体" w:eastAsia="宋体"/>
                <w:b w:val="0"/>
                <w:sz w:val="19"/>
              </w:rPr>
              <w:t>1.020</w:t>
            </w:r>
          </w:p>
        </w:tc>
        <w:tc>
          <w:tcPr>
            <w:tcW w:type="dxa" w:w="1728"/>
          </w:tcPr>
          <w:p>
            <w:r>
              <w:rPr>
                <w:rFonts w:ascii="宋体" w:hAnsi="宋体" w:eastAsia="宋体"/>
                <w:b w:val="0"/>
                <w:sz w:val="19"/>
              </w:rPr>
              <w:t>0.1658</w:t>
            </w:r>
          </w:p>
        </w:tc>
        <w:tc>
          <w:tcPr>
            <w:tcW w:type="dxa" w:w="1728"/>
          </w:tcPr>
          <w:p>
            <w:r>
              <w:rPr>
                <w:rFonts w:ascii="宋体" w:hAnsi="宋体" w:eastAsia="宋体"/>
                <w:b w:val="0"/>
                <w:sz w:val="19"/>
              </w:rPr>
              <w:t>0.1484</w:t>
            </w:r>
          </w:p>
        </w:tc>
        <w:tc>
          <w:tcPr>
            <w:tcW w:type="dxa" w:w="1728"/>
          </w:tcPr>
          <w:p>
            <w:r>
              <w:rPr>
                <w:rFonts w:ascii="宋体" w:hAnsi="宋体" w:eastAsia="宋体"/>
                <w:b w:val="0"/>
                <w:sz w:val="19"/>
              </w:rPr>
              <w:t>0.1759</w:t>
            </w:r>
          </w:p>
        </w:tc>
        <w:tc>
          <w:tcPr>
            <w:tcW w:type="dxa" w:w="1728"/>
          </w:tcPr>
          <w:p>
            <w:r>
              <w:rPr>
                <w:rFonts w:ascii="宋体" w:hAnsi="宋体" w:eastAsia="宋体"/>
                <w:b w:val="0"/>
                <w:sz w:val="19"/>
              </w:rPr>
              <w:t>0.1773</w:t>
            </w:r>
          </w:p>
        </w:tc>
      </w:tr>
      <w:tr>
        <w:tc>
          <w:tcPr>
            <w:tcW w:type="dxa" w:w="1728"/>
          </w:tcPr>
          <w:p>
            <w:r>
              <w:rPr>
                <w:rFonts w:ascii="宋体" w:hAnsi="宋体" w:eastAsia="宋体"/>
                <w:b w:val="0"/>
                <w:sz w:val="19"/>
              </w:rPr>
              <w:t>1.080</w:t>
            </w:r>
          </w:p>
        </w:tc>
        <w:tc>
          <w:tcPr>
            <w:tcW w:type="dxa" w:w="1728"/>
          </w:tcPr>
          <w:p>
            <w:r>
              <w:rPr>
                <w:rFonts w:ascii="宋体" w:hAnsi="宋体" w:eastAsia="宋体"/>
                <w:b w:val="0"/>
                <w:sz w:val="19"/>
              </w:rPr>
              <w:t>0.1698</w:t>
            </w:r>
          </w:p>
        </w:tc>
        <w:tc>
          <w:tcPr>
            <w:tcW w:type="dxa" w:w="1728"/>
          </w:tcPr>
          <w:p>
            <w:r>
              <w:rPr>
                <w:rFonts w:ascii="宋体" w:hAnsi="宋体" w:eastAsia="宋体"/>
                <w:b w:val="0"/>
                <w:sz w:val="19"/>
              </w:rPr>
              <w:t>0.3021</w:t>
            </w:r>
          </w:p>
        </w:tc>
        <w:tc>
          <w:tcPr>
            <w:tcW w:type="dxa" w:w="1728"/>
          </w:tcPr>
          <w:p>
            <w:r>
              <w:rPr>
                <w:rFonts w:ascii="宋体" w:hAnsi="宋体" w:eastAsia="宋体"/>
                <w:b w:val="0"/>
                <w:sz w:val="19"/>
              </w:rPr>
              <w:t>0.1919</w:t>
            </w:r>
          </w:p>
        </w:tc>
        <w:tc>
          <w:tcPr>
            <w:tcW w:type="dxa" w:w="1728"/>
          </w:tcPr>
          <w:p>
            <w:r>
              <w:rPr>
                <w:rFonts w:ascii="宋体" w:hAnsi="宋体" w:eastAsia="宋体"/>
                <w:b w:val="0"/>
                <w:sz w:val="19"/>
              </w:rPr>
              <w:t>0.1875</w:t>
            </w:r>
          </w:p>
        </w:tc>
      </w:tr>
      <w:tr>
        <w:tc>
          <w:tcPr>
            <w:tcW w:type="dxa" w:w="1728"/>
          </w:tcPr>
          <w:p>
            <w:r>
              <w:rPr>
                <w:rFonts w:ascii="宋体" w:hAnsi="宋体" w:eastAsia="宋体"/>
                <w:b w:val="0"/>
                <w:sz w:val="19"/>
              </w:rPr>
              <w:t>1.600</w:t>
            </w:r>
          </w:p>
        </w:tc>
        <w:tc>
          <w:tcPr>
            <w:tcW w:type="dxa" w:w="1728"/>
          </w:tcPr>
          <w:p>
            <w:r>
              <w:rPr>
                <w:rFonts w:ascii="宋体" w:hAnsi="宋体" w:eastAsia="宋体"/>
                <w:b w:val="0"/>
                <w:sz w:val="19"/>
              </w:rPr>
              <w:t>0.1656</w:t>
            </w:r>
          </w:p>
        </w:tc>
        <w:tc>
          <w:tcPr>
            <w:tcW w:type="dxa" w:w="1728"/>
          </w:tcPr>
          <w:p>
            <w:r>
              <w:rPr>
                <w:rFonts w:ascii="宋体" w:hAnsi="宋体" w:eastAsia="宋体"/>
                <w:b w:val="0"/>
                <w:sz w:val="19"/>
              </w:rPr>
              <w:t>0.5008</w:t>
            </w:r>
          </w:p>
        </w:tc>
        <w:tc>
          <w:tcPr>
            <w:tcW w:type="dxa" w:w="1728"/>
          </w:tcPr>
          <w:p>
            <w:r>
              <w:rPr>
                <w:rFonts w:ascii="宋体" w:hAnsi="宋体" w:eastAsia="宋体"/>
                <w:b w:val="0"/>
                <w:sz w:val="19"/>
              </w:rPr>
              <w:t>0.2797</w:t>
            </w:r>
          </w:p>
        </w:tc>
        <w:tc>
          <w:tcPr>
            <w:tcW w:type="dxa" w:w="1728"/>
          </w:tcPr>
          <w:p>
            <w:r>
              <w:rPr>
                <w:rFonts w:ascii="宋体" w:hAnsi="宋体" w:eastAsia="宋体"/>
                <w:b w:val="0"/>
                <w:sz w:val="19"/>
              </w:rPr>
              <w:t>0.2696</w:t>
            </w:r>
          </w:p>
        </w:tc>
      </w:tr>
      <w:tr>
        <w:tc>
          <w:tcPr>
            <w:tcW w:type="dxa" w:w="1728"/>
          </w:tcPr>
          <w:p>
            <w:r>
              <w:rPr>
                <w:rFonts w:ascii="宋体" w:hAnsi="宋体" w:eastAsia="宋体"/>
                <w:b w:val="0"/>
                <w:sz w:val="19"/>
              </w:rPr>
              <w:t>有效父代数 N_eff</w:t>
            </w:r>
          </w:p>
        </w:tc>
        <w:tc>
          <w:tcPr>
            <w:tcW w:type="dxa" w:w="1728"/>
          </w:tcPr>
          <w:p>
            <w:r>
              <w:rPr>
                <w:rFonts w:ascii="宋体" w:hAnsi="宋体" w:eastAsia="宋体"/>
                <w:b w:val="0"/>
                <w:sz w:val="19"/>
              </w:rPr>
              <w:t>6.000</w:t>
            </w:r>
          </w:p>
        </w:tc>
        <w:tc>
          <w:tcPr>
            <w:tcW w:type="dxa" w:w="1728"/>
          </w:tcPr>
          <w:p>
            <w:r>
              <w:rPr>
                <w:rFonts w:ascii="宋体" w:hAnsi="宋体" w:eastAsia="宋体"/>
                <w:b w:val="0"/>
                <w:sz w:val="19"/>
              </w:rPr>
              <w:t>3.229</w:t>
            </w:r>
          </w:p>
        </w:tc>
        <w:tc>
          <w:tcPr>
            <w:tcW w:type="dxa" w:w="1728"/>
          </w:tcPr>
          <w:p>
            <w:r>
              <w:rPr>
                <w:rFonts w:ascii="宋体" w:hAnsi="宋体" w:eastAsia="宋体"/>
                <w:b w:val="0"/>
                <w:sz w:val="19"/>
              </w:rPr>
              <w:t>4.907</w:t>
            </w:r>
          </w:p>
        </w:tc>
        <w:tc>
          <w:tcPr>
            <w:tcW w:type="dxa" w:w="1728"/>
          </w:tcPr>
          <w:p>
            <w:r>
              <w:rPr>
                <w:rFonts w:ascii="宋体" w:hAnsi="宋体" w:eastAsia="宋体"/>
                <w:b w:val="0"/>
                <w:sz w:val="19"/>
              </w:rPr>
              <w:t>5.206</w:t>
            </w:r>
          </w:p>
        </w:tc>
      </w:tr>
    </w:tbl>
    <w:p>
      <w:pPr>
        <w:ind w:firstLine="420"/>
      </w:pPr>
      <w:r>
        <w:rPr>
          <w:rFonts w:ascii="宋体" w:hAnsi="宋体" w:eastAsia="宋体"/>
          <w:b w:val="0"/>
          <w:sz w:val="21"/>
        </w:rPr>
        <w:t>由表7a可见，四种策略的选择概率分布差异明显。均匀选择对全部个体赋予相同概率，有效父代数 N_eff 为 6.000，已达到种群规模 6 的上界（归一化熵为 1.000），且在采样中把 16.6% 的概率分给了适应度为 0.000 的评测失败个体，说明它完全不利用适应度信息，等价于不施加选择压力。三元锦标赛的选择压力最强，N_eff 降至 3.229，给最强个体的概率达 0.501，且从不选中失败个体，代价是选择高度集中于少数个体。轮盘赌按适应度比例加权，N_eff 为 4.907，给最强个体的概率为 0.280；UCB 式选择的 N_eff 为 5.206，仍保持在较高水平，同时把给最强个体的概率提高到 0.270，并保留约 1.6% 的概率探访评测失败的个体以维持探索。四者的期望适应度依次为 0.950、1.328、1.187 与 1.164，与上述压力排序一致。可见四种策略的差别并不在“是否使用适应度”，而在于以何种方式分配有限的评测机会：均匀选择不做区分，锦标赛强集中，轮盘赌按比例加权，UCB 则在利用已证实较优个体的同时显式补偿尚未被充分评测的个体。</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t>均匀选择</w:t>
            </w:r>
            <w:r>
              <w:rPr>
                <w:rFonts w:ascii="宋体" w:hAnsi="宋体" w:eastAsia="宋体"/>
                <w:b w:val="0"/>
                <w:sz w:val="19"/>
              </w:rPr>
            </w:r>
          </w:p>
        </w:tc>
        <w:tc>
          <w:tcPr>
            <w:tcW w:type="dxa" w:w="2494"/>
          </w:tcPr>
          <w:p>
            <w:pPr>
              <w:jc w:val="center"/>
            </w:pPr>
            <w:r>
              <w:t>0.5029</w:t>
            </w:r>
            <w:r>
              <w:rPr>
                <w:rFonts w:ascii="宋体" w:hAnsi="宋体" w:eastAsia="宋体"/>
                <w:b w:val="0"/>
                <w:sz w:val="19"/>
              </w:rPr>
            </w:r>
          </w:p>
        </w:tc>
        <w:tc>
          <w:tcPr>
            <w:tcW w:type="dxa" w:w="2154"/>
          </w:tcPr>
          <w:p>
            <w:pPr>
              <w:jc w:val="center"/>
            </w:pPr>
            <w:r>
              <w:t>2.0570</w:t>
            </w:r>
            <w:r>
              <w:rPr>
                <w:rFonts w:ascii="宋体" w:hAnsi="宋体" w:eastAsia="宋体"/>
                <w:b w:val="0"/>
                <w:sz w:val="19"/>
              </w:rPr>
            </w:r>
          </w:p>
        </w:tc>
      </w:tr>
      <w:tr>
        <w:tc>
          <w:tcPr>
            <w:tcW w:type="dxa" w:w="2268"/>
          </w:tcPr>
          <w:p>
            <w:pPr>
              <w:jc w:val="center"/>
            </w:pPr>
            <w:r>
              <w:t>三元锦标赛选择</w:t>
            </w:r>
            <w:r>
              <w:rPr>
                <w:rFonts w:ascii="宋体" w:hAnsi="宋体" w:eastAsia="宋体"/>
                <w:b w:val="0"/>
                <w:sz w:val="19"/>
              </w:rPr>
            </w:r>
          </w:p>
        </w:tc>
        <w:tc>
          <w:tcPr>
            <w:tcW w:type="dxa" w:w="2494"/>
          </w:tcPr>
          <w:p>
            <w:pPr>
              <w:jc w:val="center"/>
            </w:pPr>
            <w:r>
              <w:t>1.0155</w:t>
            </w:r>
            <w:r>
              <w:rPr>
                <w:rFonts w:ascii="宋体" w:hAnsi="宋体" w:eastAsia="宋体"/>
                <w:b w:val="0"/>
                <w:sz w:val="19"/>
              </w:rPr>
            </w:r>
          </w:p>
        </w:tc>
        <w:tc>
          <w:tcPr>
            <w:tcW w:type="dxa" w:w="2154"/>
          </w:tcPr>
          <w:p>
            <w:pPr>
              <w:jc w:val="center"/>
            </w:pPr>
            <w:r>
              <w:t>2.0454</w:t>
            </w:r>
            <w:r>
              <w:rPr>
                <w:rFonts w:ascii="宋体" w:hAnsi="宋体" w:eastAsia="宋体"/>
                <w:b w:val="0"/>
                <w:sz w:val="19"/>
              </w:rPr>
            </w:r>
          </w:p>
        </w:tc>
      </w:tr>
      <w:tr>
        <w:tc>
          <w:tcPr>
            <w:tcW w:type="dxa" w:w="2268"/>
          </w:tcPr>
          <w:p>
            <w:pPr>
              <w:jc w:val="center"/>
            </w:pPr>
            <w:r>
              <w:t>轮盘赌选择</w:t>
            </w:r>
            <w:r>
              <w:rPr>
                <w:rFonts w:ascii="宋体" w:hAnsi="宋体" w:eastAsia="宋体"/>
                <w:b w:val="0"/>
                <w:sz w:val="19"/>
              </w:rPr>
            </w:r>
          </w:p>
        </w:tc>
        <w:tc>
          <w:tcPr>
            <w:tcW w:type="dxa" w:w="2494"/>
          </w:tcPr>
          <w:p>
            <w:pPr>
              <w:jc w:val="center"/>
            </w:pPr>
            <w:r>
              <w:t>1.1820</w:t>
            </w:r>
            <w:r>
              <w:rPr>
                <w:rFonts w:ascii="宋体" w:hAnsi="宋体" w:eastAsia="宋体"/>
                <w:b w:val="0"/>
                <w:sz w:val="19"/>
              </w:rPr>
            </w:r>
          </w:p>
        </w:tc>
        <w:tc>
          <w:tcPr>
            <w:tcW w:type="dxa" w:w="2154"/>
          </w:tcPr>
          <w:p>
            <w:pPr>
              <w:jc w:val="center"/>
            </w:pPr>
            <w:r>
              <w:t>2.2281</w:t>
            </w:r>
            <w:r>
              <w:rPr>
                <w:rFonts w:ascii="宋体" w:hAnsi="宋体" w:eastAsia="宋体"/>
                <w:b w:val="0"/>
                <w:sz w:val="19"/>
              </w:rPr>
            </w:r>
          </w:p>
        </w:tc>
      </w:tr>
      <w:tr>
        <w:tc>
          <w:tcPr>
            <w:tcW w:type="dxa" w:w="2268"/>
          </w:tcPr>
          <w:p>
            <w:pPr>
              <w:jc w:val="center"/>
            </w:pPr>
            <w:r>
              <w:t>UCB 选择</w:t>
            </w:r>
            <w:r>
              <w:rPr>
                <w:rFonts w:ascii="宋体" w:hAnsi="宋体" w:eastAsia="宋体"/>
                <w:b w:val="0"/>
                <w:sz w:val="19"/>
              </w:rPr>
            </w:r>
          </w:p>
        </w:tc>
        <w:tc>
          <w:tcPr>
            <w:tcW w:type="dxa" w:w="2494"/>
          </w:tcPr>
          <w:p>
            <w:pPr>
              <w:jc w:val="center"/>
            </w:pPr>
            <w:r>
              <w:t>2.4878</w:t>
            </w:r>
            <w:r>
              <w:rPr>
                <w:rFonts w:ascii="宋体" w:hAnsi="宋体" w:eastAsia="宋体"/>
                <w:b w:val="0"/>
                <w:sz w:val="19"/>
              </w:rPr>
            </w:r>
          </w:p>
        </w:tc>
        <w:tc>
          <w:tcPr>
            <w:tcW w:type="dxa" w:w="2154"/>
          </w:tcPr>
          <w:p>
            <w:pPr>
              <w:jc w:val="center"/>
            </w:pPr>
            <w:r>
              <w:t>2.4219</w:t>
            </w:r>
            <w:r>
              <w:rPr>
                <w:rFonts w:ascii="宋体" w:hAnsi="宋体" w:eastAsia="宋体"/>
                <w:b w:val="0"/>
                <w:sz w:val="19"/>
              </w:rPr>
            </w:r>
          </w:p>
        </w:tc>
      </w:tr>
    </w:tbl>
    <w:p>
      <w:pPr>
        <w:spacing w:after="40"/>
      </w:pPr>
    </w:p>
    <w:p>
      <w:pPr>
        <w:ind w:firstLine="420"/>
      </w:pPr>
      <w:r>
        <w:rPr>
          <w:rFonts w:ascii="宋体" w:hAnsi="宋体" w:eastAsia="宋体"/>
          <w:b w:val="0"/>
          <w:sz w:val="21"/>
        </w:rPr>
        <w:t>由表7可见，四种策略的被选父代平均适应度呈现明显梯度：均匀选择最低，为 0.5029，且其被选父代中约有 52.5% 适应度为 0，即尚未通过验证的个体，说明在不利用适应度信息时有相当比例的评测机会被分配到无效候选上；三元锦标赛为 1.0155，轮盘赌为 1.1820，UCB 最高，为 2.4878。需要说明的是，UCB 的均值在一定程度上受少数高适应度父代拉动——其 240 次取值中有 13 次超过 2.0，最高达 35.85，而四者的中位适应度均落在 1.00 附近，因此 UCB 的差别主要体现为它能反复选中那些已被证实显著优于种子的个体，而非在每一次选择事件上都施加更高的即时压力。在最终结果上，UCB 式选择的 GM(S) 为 2.4219，高于轮盘赌的 2.2281、均匀选择的 2.0570 与三元锦标赛的 2.0454。以 15 个算子的配对结果做 Friedman 检验，四种策略的差异达到统计显著（chi2 = 11.0878，df = 3，p = 0.0113，Kendall's W = 0.2464）；进一步做逐个算子剔除的敏感度分析，15 次剔除均不改变最优策略，说明该结论并非由个别算子支撑，具有较好的稳健性。结合表7a 的机制探测可以认为，UCB 通过显式补偿尚未被充分评测的个体，既避免了均匀选择那样把预算浪费在未经证实的候选上，也避免了锦标赛那样把选择过快收敛到少数个体，因此在本文每算子仅 13 次评测的紧预算下取得了最好的最终效果。</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具体地，三类变异操作的含义如下：参数调优只调整 num_warps、num_stages、BLOCK_SIZE 等 Launch 与 constexpr 参数，保持核心计算、Grid、寻址与 Mask 不变；算术与 Mask 优化在保持 Grid 与输出元素映射的前提下做数学等价替换与谓词、对齐简化；结构重写则允许重构 Grid 与 program_id 解码、改变任务打包与分块方式。三种策略的差别即体现在对这三类的采样权重上：均匀变异对三类等概率采样（各 1/3），且完全不参考父代的实测性能；激进变异以结构重写为主导，三类权重依次为 0.60、0.25、0.15；自适应变异并非一组固定权重，而是按父代相对参考实现的加速比分为三档——加速比大于 2.5 时只采用算术与 Mask 优化（0.70）与参数调优（0.30）、完全不触发结构重写，介于 1.5 与 2.5 之间时以算术与 Mask 优化为主（0.60/0.30/0.10），小于 1.5 时才以结构重写为主（0.50/0.35/0.15）。因此在阅读表9 时需要注意，自适应变异的实测占比并非一个固定分布，而是上述三档规则在本次父代构成上的混合结果。</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80" w:after="80"/>
        <w:jc w:val="center"/>
      </w:pPr>
      <w:r>
        <w:rPr>
          <w:rFonts w:ascii="Times New Roman" w:hAnsi="Times New Roman" w:eastAsia="Times New Roman"/>
          <w:b w:val="0"/>
          <w:i/>
          <w:sz w:val="21"/>
        </w:rPr>
        <w:t>上述三种策略的差异只体现在变异类型的采样方式上。为直接检验这一差异是否真实成立、并剥离搜索轨迹的影响，本文在固定父代上做一次机制探测：在 3.3 与 3.4.1、3.4.2 所用的同一批 15 个算子上，为每个算子选取 2 个父代个体（其最快初始种子与已有最优候选各 1 个），共 30 个父代；每个算子取两个父代，是因为自适应变异的类型权重依父代水平而定，只有覆盖不同水平的父代才能检验其分级行为。在每个父代上分别按三种策略各生成 3 个变异体并完整评测，共 270 个变异体。由于父代固定且必定有效，三种策略面对的是同一批父代，观测到的差异只能来自策略本身；同时每个变异体都携带父代延迟，样本可用率接近 100%（端到端实验中约 65% 的变异样本因父代评测失败而无法计算增益）。每个变异体采用多次测量取中位数，量测抖动约为 ±2.5%（由未改动代码的无操作变异样本实测得到）。结果如表9所示。需要说明的是，本探测回答的是“一次变异的策略差异”，与表9 的端到端结果互相补充、不可互相替代。</w:t>
      </w:r>
    </w:p>
    <w:p>
      <w:pPr>
        <w:spacing w:before="80" w:after="80"/>
        <w:jc w:val="center"/>
      </w:pPr>
      <w:r>
        <w:rPr>
          <w:rFonts w:ascii="Times New Roman" w:hAnsi="Times New Roman" w:eastAsia="Times New Roman"/>
          <w:b w:val="0"/>
          <w:i/>
          <w:sz w:val="21"/>
        </w:rPr>
        <w:t>表9 变异策略机制探测（固定父代，每父代每策略 3 次）</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1234"/>
          </w:tcPr>
          <w:p>
            <w:r>
              <w:rPr>
                <w:rFonts w:ascii="黑体" w:hAnsi="黑体" w:eastAsia="黑体"/>
                <w:b/>
                <w:sz w:val="19"/>
              </w:rPr>
              <w:t>变异策略</w:t>
            </w:r>
          </w:p>
        </w:tc>
        <w:tc>
          <w:tcPr>
            <w:tcW w:type="dxa" w:w="1234"/>
          </w:tcPr>
          <w:p>
            <w:r>
              <w:rPr>
                <w:rFonts w:ascii="黑体" w:hAnsi="黑体" w:eastAsia="黑体"/>
                <w:b/>
                <w:sz w:val="19"/>
              </w:rPr>
              <w:t>参数调优</w:t>
            </w:r>
          </w:p>
        </w:tc>
        <w:tc>
          <w:tcPr>
            <w:tcW w:type="dxa" w:w="1234"/>
          </w:tcPr>
          <w:p>
            <w:r>
              <w:rPr>
                <w:rFonts w:ascii="黑体" w:hAnsi="黑体" w:eastAsia="黑体"/>
                <w:b/>
                <w:sz w:val="19"/>
              </w:rPr>
              <w:t>算术与 Mask</w:t>
            </w:r>
          </w:p>
        </w:tc>
        <w:tc>
          <w:tcPr>
            <w:tcW w:type="dxa" w:w="1234"/>
          </w:tcPr>
          <w:p>
            <w:r>
              <w:rPr>
                <w:rFonts w:ascii="黑体" w:hAnsi="黑体" w:eastAsia="黑体"/>
                <w:b/>
                <w:sz w:val="19"/>
              </w:rPr>
              <w:t>结构重写</w:t>
            </w:r>
          </w:p>
        </w:tc>
        <w:tc>
          <w:tcPr>
            <w:tcW w:type="dxa" w:w="1234"/>
          </w:tcPr>
          <w:p>
            <w:r>
              <w:rPr>
                <w:rFonts w:ascii="黑体" w:hAnsi="黑体" w:eastAsia="黑体"/>
                <w:b/>
                <w:sz w:val="19"/>
              </w:rPr>
              <w:t>无操作率</w:t>
            </w:r>
          </w:p>
        </w:tc>
        <w:tc>
          <w:tcPr>
            <w:tcW w:type="dxa" w:w="1234"/>
          </w:tcPr>
          <w:p>
            <w:r>
              <w:rPr>
                <w:rFonts w:ascii="黑体" w:hAnsi="黑体" w:eastAsia="黑体"/>
                <w:b/>
                <w:sz w:val="19"/>
              </w:rPr>
              <w:t>改进率 P(G&gt;1)</w:t>
            </w:r>
          </w:p>
        </w:tc>
        <w:tc>
          <w:tcPr>
            <w:tcW w:type="dxa" w:w="1234"/>
          </w:tcPr>
          <w:p>
            <w:r>
              <w:rPr>
                <w:rFonts w:ascii="黑体" w:hAnsi="黑体" w:eastAsia="黑体"/>
                <w:b/>
                <w:sz w:val="19"/>
              </w:rPr>
              <w:t>改进率 95%CI</w:t>
            </w:r>
          </w:p>
        </w:tc>
      </w:tr>
      <w:tr>
        <w:tc>
          <w:tcPr>
            <w:tcW w:type="dxa" w:w="1234"/>
          </w:tcPr>
          <w:p>
            <w:r>
              <w:rPr>
                <w:rFonts w:ascii="宋体" w:hAnsi="宋体" w:eastAsia="宋体"/>
                <w:b w:val="0"/>
                <w:sz w:val="19"/>
              </w:rPr>
              <w:t>自适应变异</w:t>
            </w:r>
          </w:p>
        </w:tc>
        <w:tc>
          <w:tcPr>
            <w:tcW w:type="dxa" w:w="1234"/>
          </w:tcPr>
          <w:p>
            <w:r>
              <w:rPr>
                <w:rFonts w:ascii="宋体" w:hAnsi="宋体" w:eastAsia="宋体"/>
                <w:b w:val="0"/>
                <w:sz w:val="19"/>
              </w:rPr>
              <w:t>15.6%</w:t>
            </w:r>
          </w:p>
        </w:tc>
        <w:tc>
          <w:tcPr>
            <w:tcW w:type="dxa" w:w="1234"/>
          </w:tcPr>
          <w:p>
            <w:r>
              <w:rPr>
                <w:rFonts w:ascii="宋体" w:hAnsi="宋体" w:eastAsia="宋体"/>
                <w:b w:val="0"/>
                <w:sz w:val="19"/>
              </w:rPr>
              <w:t>48.9%</w:t>
            </w:r>
          </w:p>
        </w:tc>
        <w:tc>
          <w:tcPr>
            <w:tcW w:type="dxa" w:w="1234"/>
          </w:tcPr>
          <w:p>
            <w:r>
              <w:rPr>
                <w:rFonts w:ascii="宋体" w:hAnsi="宋体" w:eastAsia="宋体"/>
                <w:b w:val="0"/>
                <w:sz w:val="19"/>
              </w:rPr>
              <w:t>35.6%</w:t>
            </w:r>
          </w:p>
        </w:tc>
        <w:tc>
          <w:tcPr>
            <w:tcW w:type="dxa" w:w="1234"/>
          </w:tcPr>
          <w:p>
            <w:r>
              <w:rPr>
                <w:rFonts w:ascii="宋体" w:hAnsi="宋体" w:eastAsia="宋体"/>
                <w:b w:val="0"/>
                <w:sz w:val="19"/>
              </w:rPr>
              <w:t>18.9%</w:t>
            </w:r>
          </w:p>
        </w:tc>
        <w:tc>
          <w:tcPr>
            <w:tcW w:type="dxa" w:w="1234"/>
          </w:tcPr>
          <w:p>
            <w:r>
              <w:rPr>
                <w:rFonts w:ascii="宋体" w:hAnsi="宋体" w:eastAsia="宋体"/>
                <w:b w:val="0"/>
                <w:sz w:val="19"/>
              </w:rPr>
              <w:t>52.4%</w:t>
            </w:r>
          </w:p>
        </w:tc>
        <w:tc>
          <w:tcPr>
            <w:tcW w:type="dxa" w:w="1234"/>
          </w:tcPr>
          <w:p>
            <w:r>
              <w:rPr>
                <w:rFonts w:ascii="宋体" w:hAnsi="宋体" w:eastAsia="宋体"/>
                <w:b w:val="0"/>
                <w:sz w:val="19"/>
              </w:rPr>
              <w:t>[41.7%, 63.1%]</w:t>
            </w:r>
          </w:p>
        </w:tc>
      </w:tr>
      <w:tr>
        <w:tc>
          <w:tcPr>
            <w:tcW w:type="dxa" w:w="1234"/>
          </w:tcPr>
          <w:p>
            <w:r>
              <w:rPr>
                <w:rFonts w:ascii="宋体" w:hAnsi="宋体" w:eastAsia="宋体"/>
                <w:b w:val="0"/>
                <w:sz w:val="19"/>
              </w:rPr>
              <w:t>均匀变异</w:t>
            </w:r>
          </w:p>
        </w:tc>
        <w:tc>
          <w:tcPr>
            <w:tcW w:type="dxa" w:w="1234"/>
          </w:tcPr>
          <w:p>
            <w:r>
              <w:rPr>
                <w:rFonts w:ascii="宋体" w:hAnsi="宋体" w:eastAsia="宋体"/>
                <w:b w:val="0"/>
                <w:sz w:val="19"/>
              </w:rPr>
              <w:t>26.7%</w:t>
            </w:r>
          </w:p>
        </w:tc>
        <w:tc>
          <w:tcPr>
            <w:tcW w:type="dxa" w:w="1234"/>
          </w:tcPr>
          <w:p>
            <w:r>
              <w:rPr>
                <w:rFonts w:ascii="宋体" w:hAnsi="宋体" w:eastAsia="宋体"/>
                <w:b w:val="0"/>
                <w:sz w:val="19"/>
              </w:rPr>
              <w:t>40.0%</w:t>
            </w:r>
          </w:p>
        </w:tc>
        <w:tc>
          <w:tcPr>
            <w:tcW w:type="dxa" w:w="1234"/>
          </w:tcPr>
          <w:p>
            <w:r>
              <w:rPr>
                <w:rFonts w:ascii="宋体" w:hAnsi="宋体" w:eastAsia="宋体"/>
                <w:b w:val="0"/>
                <w:sz w:val="19"/>
              </w:rPr>
              <w:t>33.3%</w:t>
            </w:r>
          </w:p>
        </w:tc>
        <w:tc>
          <w:tcPr>
            <w:tcW w:type="dxa" w:w="1234"/>
          </w:tcPr>
          <w:p>
            <w:r>
              <w:rPr>
                <w:rFonts w:ascii="宋体" w:hAnsi="宋体" w:eastAsia="宋体"/>
                <w:b w:val="0"/>
                <w:sz w:val="19"/>
              </w:rPr>
              <w:t>17.8%</w:t>
            </w:r>
          </w:p>
        </w:tc>
        <w:tc>
          <w:tcPr>
            <w:tcW w:type="dxa" w:w="1234"/>
          </w:tcPr>
          <w:p>
            <w:r>
              <w:rPr>
                <w:rFonts w:ascii="宋体" w:hAnsi="宋体" w:eastAsia="宋体"/>
                <w:b w:val="0"/>
                <w:sz w:val="19"/>
              </w:rPr>
              <w:t>45.5%</w:t>
            </w:r>
          </w:p>
        </w:tc>
        <w:tc>
          <w:tcPr>
            <w:tcW w:type="dxa" w:w="1234"/>
          </w:tcPr>
          <w:p>
            <w:r>
              <w:rPr>
                <w:rFonts w:ascii="宋体" w:hAnsi="宋体" w:eastAsia="宋体"/>
                <w:b w:val="0"/>
                <w:sz w:val="19"/>
              </w:rPr>
              <w:t>[35.2%, 55.7%]</w:t>
            </w:r>
          </w:p>
        </w:tc>
      </w:tr>
      <w:tr>
        <w:tc>
          <w:tcPr>
            <w:tcW w:type="dxa" w:w="1234"/>
          </w:tcPr>
          <w:p>
            <w:r>
              <w:rPr>
                <w:rFonts w:ascii="宋体" w:hAnsi="宋体" w:eastAsia="宋体"/>
                <w:b w:val="0"/>
                <w:sz w:val="19"/>
              </w:rPr>
              <w:t>激进变异</w:t>
            </w:r>
          </w:p>
        </w:tc>
        <w:tc>
          <w:tcPr>
            <w:tcW w:type="dxa" w:w="1234"/>
          </w:tcPr>
          <w:p>
            <w:r>
              <w:rPr>
                <w:rFonts w:ascii="宋体" w:hAnsi="宋体" w:eastAsia="宋体"/>
                <w:b w:val="0"/>
                <w:sz w:val="19"/>
              </w:rPr>
              <w:t>14.4%</w:t>
            </w:r>
          </w:p>
        </w:tc>
        <w:tc>
          <w:tcPr>
            <w:tcW w:type="dxa" w:w="1234"/>
          </w:tcPr>
          <w:p>
            <w:r>
              <w:rPr>
                <w:rFonts w:ascii="宋体" w:hAnsi="宋体" w:eastAsia="宋体"/>
                <w:b w:val="0"/>
                <w:sz w:val="19"/>
              </w:rPr>
              <w:t>18.9%</w:t>
            </w:r>
          </w:p>
        </w:tc>
        <w:tc>
          <w:tcPr>
            <w:tcW w:type="dxa" w:w="1234"/>
          </w:tcPr>
          <w:p>
            <w:r>
              <w:rPr>
                <w:rFonts w:ascii="宋体" w:hAnsi="宋体" w:eastAsia="宋体"/>
                <w:b w:val="0"/>
                <w:sz w:val="19"/>
              </w:rPr>
              <w:t>66.7%</w:t>
            </w:r>
          </w:p>
        </w:tc>
        <w:tc>
          <w:tcPr>
            <w:tcW w:type="dxa" w:w="1234"/>
          </w:tcPr>
          <w:p>
            <w:r>
              <w:rPr>
                <w:rFonts w:ascii="宋体" w:hAnsi="宋体" w:eastAsia="宋体"/>
                <w:b w:val="0"/>
                <w:sz w:val="19"/>
              </w:rPr>
              <w:t>14.4%</w:t>
            </w:r>
          </w:p>
        </w:tc>
        <w:tc>
          <w:tcPr>
            <w:tcW w:type="dxa" w:w="1234"/>
          </w:tcPr>
          <w:p>
            <w:r>
              <w:rPr>
                <w:rFonts w:ascii="宋体" w:hAnsi="宋体" w:eastAsia="宋体"/>
                <w:b w:val="0"/>
                <w:sz w:val="19"/>
              </w:rPr>
              <w:t>39.8%</w:t>
            </w:r>
          </w:p>
        </w:tc>
        <w:tc>
          <w:tcPr>
            <w:tcW w:type="dxa" w:w="1234"/>
          </w:tcPr>
          <w:p>
            <w:r>
              <w:rPr>
                <w:rFonts w:ascii="宋体" w:hAnsi="宋体" w:eastAsia="宋体"/>
                <w:b w:val="0"/>
                <w:sz w:val="19"/>
              </w:rPr>
              <w:t>[29.5%, 50.0%]</w:t>
            </w:r>
          </w:p>
        </w:tc>
      </w:tr>
    </w:tbl>
    <w:p>
      <w:pPr>
        <w:spacing w:before="80" w:after="80"/>
        <w:jc w:val="center"/>
      </w:pPr>
      <w:r>
        <w:rPr>
          <w:rFonts w:ascii="Times New Roman" w:hAnsi="Times New Roman" w:eastAsia="Times New Roman"/>
          <w:b w:val="0"/>
          <w:i/>
          <w:sz w:val="21"/>
        </w:rPr>
        <w:t>由表9可见，三种策略的实测类型分布与其名义设定一致：激进变异的结构重写占比最高，为 66.7%（名义 60%），均匀变异三类接近均分（26.7%、40.0%、33.3%），自适应变异则介于两者之间。三者的源码相似度（0.876 至 0.886）与平均改动行数（18.2 至 21.2 行）彼此接近，说明三种策略的差别在于“改什么”而非“改多少”。更能说明问题的是自适应变异的分级规则：其变异类型依父代水平而定，在低水平父代（n=69）上结构重写占 46.4%，而在高水平父代（n=18）上结构重写完全不出现（0.0%）、算术等价化提升到 83.3%，与算法设定完全吻合。在更能反映单次收益的改进率 P(G_mut &gt; 1) 上，自适应变异为 52.4%、均匀变异为 45.5%、激进变异为 39.8%，三者的置信区间互相重叠；按父代配对比较，任意两者之差的置信区间均包含 0，Wilcoxon 符号秩检验亦不显著（p 介于 0.101 与 0.276 之间）。进一步做方差分解：按策略分组时，组间（策略身份）占 0.9%、组内（同一策略内部的采样随机性）占 99.1%；另按父代分组作同样的分解，父代身份占 35.5%。两者为两次独立的单因素分解，占比不可直接相加。由此可见，三种策略确实改变了变异的行为，但并未改变单次变异的期望收益；决定一次变异是否有效的关键是“对哪个父代变异”，而非“采用哪种变异策略”，这与 3.4.2 中主干保持型保护交叉的结论一致。需要说明的是，本文不以端到端加速比作为判别三种变异策略的依据：该指标经过两代进化与精英保留之后，初始差异已被稀释，且在本文的实验规模下三种策略的差异不显著（Friedman 检验 p = 0.4371），逐个算子剔除时最优者还会发生变化，因此不足以支撑稳定的排序结论。</w:t>
      </w:r>
    </w:p>
    <w:p>
      <w:pPr>
        <w:spacing w:after="40"/>
      </w:pP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