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黑体" w:hAnsi="黑体" w:eastAsia="黑体"/>
          <w:b/>
          <w:sz w:val="28"/>
        </w:rPr>
        <w:t>3. 实验与结果</w:t>
      </w:r>
    </w:p>
    <w:p>
      <w:pPr>
        <w:spacing w:before="200" w:after="80"/>
      </w:pPr>
      <w:r>
        <w:rPr>
          <w:rFonts w:ascii="黑体" w:hAnsi="黑体" w:eastAsia="黑体"/>
          <w:b/>
          <w:sz w:val="24"/>
        </w:rPr>
        <w:t>3.0 实验设置与公共协议</w:t>
      </w:r>
    </w:p>
    <w:p>
      <w:pPr>
        <w:ind w:firstLine="420"/>
      </w:pPr>
      <w:r>
        <w:rPr>
          <w:rFonts w:ascii="宋体" w:hAnsi="宋体" w:eastAsia="宋体"/>
          <w:b w:val="0"/>
          <w:sz w:val="21"/>
        </w:rPr>
        <w:t>实验对象为竞赛方提供的 50 个 Triton 算子（官方原始实现，未经人工优化），每个算子提供 2 个初始种子实现与 1 个测试脚本。全部 50 个算子均在当前环境下完成基线重测，参考实现延迟与最快种子延迟由此得到。需要说明的是，其中 3 个算子（reduce_segments、_silu_mul_fp8_quant_deep_gemm、softplus）的官方种子实现在当前软硬件环境下无法通过评测；为使实验覆盖完整，这 3 个算子的初始种子改用同源的历史产物作为可运行起点（该起点与本文方法的输出无关），其影响在 3.1 节单独说明。</w:t>
      </w:r>
    </w:p>
    <w:p>
      <w:pPr>
        <w:ind w:firstLine="420"/>
      </w:pPr>
      <w:r>
        <w:rPr>
          <w:rFonts w:ascii="宋体" w:hAnsi="宋体" w:eastAsia="宋体"/>
          <w:b w:val="0"/>
          <w:sz w:val="21"/>
        </w:rPr>
        <w:t>大模型侧使用两个端点：分析类任务（事实提取、策略蓝图生成）使用轻量模型，代码生成类任务使用强模型，两种调用的温度、最大生成长度等参数在各对比方法中保持一致。</w:t>
      </w:r>
    </w:p>
    <w:p>
      <w:pPr>
        <w:ind w:firstLine="420"/>
      </w:pPr>
      <w:r>
        <w:rPr>
          <w:rFonts w:ascii="宋体" w:hAnsi="宋体" w:eastAsia="宋体"/>
          <w:b w:val="0"/>
          <w:sz w:val="21"/>
        </w:rPr>
        <w:t>搜索预算统一约定如下。每个算子的候选生成预算与 NPU 评测预算均固定为 13 次，其中第 0 代生成 5 个候选，随后两代各生成 4 个子代；当第 0 代保留种子数导致种群超出设定规模时，按适应度截断以保证各算子的预算一致。初始种子的功能验证与延迟测量不计入搜索预算，由 B0 阶段统一完成。若候选被 AST 静态预检查拒绝，则不占用 NPU 评测名额，系统重新生成候选补齐，由此多消耗的大模型调用次数在各方法中如实记录并单独报告。</w:t>
      </w:r>
    </w:p>
    <w:p>
      <w:pPr>
        <w:ind w:firstLine="420"/>
      </w:pPr>
      <w:r>
        <w:rPr>
          <w:rFonts w:ascii="宋体" w:hAnsi="宋体" w:eastAsia="宋体"/>
          <w:b w:val="0"/>
          <w:sz w:val="21"/>
        </w:rPr>
        <w:t>计时协议统一约定如下。搜索过程中的候选评测在两块 NPU 上并发执行；而参考实现延迟 T_base、最快初始种子延迟 T_seed 以及各方法最终候选延迟 T_best，均在脱离搜索进程后以串行、单设备方式重复测量 5 次并取中位数得到，使三者的测量条件完全一致。所有评测均通过 msprof 采集固定核函数的任务执行时间，采集命令与指标集合在各方法中保持相同。</w:t>
      </w:r>
    </w:p>
    <w:p>
      <w:pPr>
        <w:ind w:firstLine="420"/>
      </w:pPr>
      <w:r>
        <w:rPr>
          <w:rFonts w:ascii="宋体" w:hAnsi="宋体" w:eastAsia="宋体"/>
          <w:b w:val="0"/>
          <w:sz w:val="21"/>
        </w:rPr>
        <w:t>有效性判定与统计口径统一约定如下。候选只有在通过功能正确性检查、满足接口与数据契约、并获得大于零的实测延迟时才计为有效候选。同一方法若包含多次独立重复，先在每个算子内部对重复结果取中位数，再跨算子对各项比值取几何平均。几何平均仅在参与比较的各方法均产出有效候选的算子子集上计算，并在各表中报告参与统计的算子数。</w:t>
      </w:r>
    </w:p>
    <w:p>
      <w:pPr>
        <w:spacing w:before="200" w:after="80"/>
      </w:pPr>
      <w:r>
        <w:rPr>
          <w:rFonts w:ascii="黑体" w:hAnsi="黑体" w:eastAsia="黑体"/>
          <w:b/>
          <w:sz w:val="24"/>
        </w:rPr>
        <w:t>3.1 整体优化效果</w:t>
      </w:r>
    </w:p>
    <w:p>
      <w:pPr>
        <w:ind w:firstLine="420"/>
      </w:pPr>
      <w:r>
        <w:rPr>
          <w:rFonts w:ascii="宋体" w:hAnsi="宋体" w:eastAsia="宋体"/>
          <w:b w:val="0"/>
          <w:sz w:val="21"/>
        </w:rPr>
        <w:t>首先验证完整 TritonEvo-NPU 是否能够在统一搜索预算下获得更好的最终算子性能。主实验比较同机参考实现 B0、无证据引导进化优化器 B1、无种群交叉的大模型迭代优化 B2 以及完整方法 FULL。B0 不参与搜索，仅在当前实验环境下重新测量参考实现延迟；B1 保留基本进化搜索骨架，包括种群维护、精英保留、锦标赛选择、交叉与变异，但关闭 Profiling 证据、RAG 检索与策略驱动初始化，其第 0 代候选由大模型在无策略蓝图的条件下直接生成；B2 从当前最快有效候选出发进行单轨迹大模型迭代，每次生成一个候选并经 NPU 评测，仅当该候选有效且快于当前候选时才替换当前候选，不维护多父代种群，不执行父代交叉，也不使用性能分级变异；FULL 为本文完整的 TritonEvo-NPU 系统。B1、B2 与 FULL 使用相同的基础代码生成提示模板、AST 静态预检查规则与设备评测流程。</w:t>
      </w:r>
    </w:p>
    <w:p>
      <w:pPr>
        <w:ind w:firstLine="420"/>
      </w:pPr>
      <w:r>
        <w:rPr>
          <w:rFonts w:ascii="宋体" w:hAnsi="宋体" w:eastAsia="宋体"/>
          <w:b w:val="0"/>
          <w:sz w:val="21"/>
        </w:rPr>
        <w:t>搜索结束后，每种方法取其最优有效候选，并在与参考实现和最快初始种子相同的串行、单设备复测协议下重新测量最终延迟。若一次搜索未产生优于初始种子的有效候选，则保留最快有效初始种子作为该方法的最终候选。需要说明的是，第 2.1 节中适应度为 0 的约定针对搜索过程中的中间候选，用于候选排序与父代选择；本节上述兜底规则针对搜索结束后的最终候选，因此最终报告的 F 的下界为 1，不构成与式（2）的冲突。</w:t>
      </w:r>
    </w:p>
    <w:p>
      <w:pPr>
        <w:ind w:firstLine="420"/>
      </w:pPr>
      <w:r>
        <w:rPr>
          <w:rFonts w:ascii="宋体" w:hAnsi="宋体" w:eastAsia="宋体"/>
          <w:b w:val="0"/>
          <w:sz w:val="21"/>
        </w:rPr>
        <w:t>对每个算子，最终候选的适应度 F(k*) 与最终加速比 S(k*) 均沿用第 2.1 节的定义，其中 T_seed 为最快有效初始种子的实测延迟，T_base 为参考实现在当前环境下重新测得的延迟，T_best 为该方法的最终候选延迟。GM(S) 作为论文最终性能的主要评价指标，GM(F) 用于反映相对于最快初始种子的搜索收益。</w:t>
      </w:r>
    </w:p>
    <w:p>
      <w:pPr>
        <w:spacing w:before="160" w:after="200"/>
        <w:jc w:val="center"/>
      </w:pPr>
      <w:r>
        <w:rPr>
          <w:rFonts w:ascii="黑体" w:hAnsi="黑体" w:eastAsia="黑体"/>
          <w:b/>
          <w:sz w:val="19"/>
        </w:rPr>
        <w:t>表4（a）整体优化效果</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pPr>
              <w:jc w:val="center"/>
            </w:pPr>
            <w:r/>
            <w:r>
              <w:rPr>
                <w:rFonts w:ascii="黑体" w:hAnsi="黑体" w:eastAsia="黑体"/>
                <w:b/>
                <w:sz w:val="19"/>
              </w:rPr>
              <w:t>方法</w:t>
            </w:r>
          </w:p>
        </w:tc>
        <w:tc>
          <w:tcPr>
            <w:tcW w:type="dxa" w:w="1361"/>
          </w:tcPr>
          <w:p>
            <w:pPr>
              <w:jc w:val="center"/>
            </w:pPr>
            <w:r/>
            <w:r>
              <w:rPr>
                <w:rFonts w:ascii="黑体" w:hAnsi="黑体" w:eastAsia="黑体"/>
                <w:b/>
                <w:sz w:val="19"/>
              </w:rPr>
              <w:t>GM(F)</w:t>
            </w:r>
          </w:p>
        </w:tc>
        <w:tc>
          <w:tcPr>
            <w:tcW w:type="dxa" w:w="1361"/>
          </w:tcPr>
          <w:p>
            <w:pPr>
              <w:jc w:val="center"/>
            </w:pPr>
            <w:r/>
            <w:r>
              <w:rPr>
                <w:rFonts w:ascii="黑体" w:hAnsi="黑体" w:eastAsia="黑体"/>
                <w:b/>
                <w:sz w:val="19"/>
              </w:rPr>
              <w:t>GM(S)</w:t>
            </w:r>
          </w:p>
        </w:tc>
        <w:tc>
          <w:tcPr>
            <w:tcW w:type="dxa" w:w="1701"/>
          </w:tcPr>
          <w:p>
            <w:r>
              <w:t>中位数 F</w:t>
            </w:r>
          </w:p>
        </w:tc>
        <w:tc>
          <w:tcPr>
            <w:tcW w:type="dxa" w:w="1587"/>
          </w:tcPr>
          <w:p>
            <w:r>
              <w:t>中位数S</w:t>
            </w:r>
          </w:p>
        </w:tc>
        <w:tc>
          <w:tcPr>
            <w:tcW w:type="dxa" w:w="1224"/>
          </w:tcPr>
          <w:p>
            <w:r>
              <w:t>参与统计算子数</w:t>
            </w:r>
          </w:p>
        </w:tc>
        <w:tc>
          <w:tcPr>
            <w:tcW w:type="dxa" w:w="1224"/>
          </w:tcPr>
          <w:p>
            <w:r>
              <w:t>大模型调用数</w:t>
            </w:r>
          </w:p>
        </w:tc>
      </w:tr>
      <w:tr>
        <w:tc>
          <w:tcPr>
            <w:tcW w:type="dxa" w:w="2608"/>
          </w:tcPr>
          <w:p>
            <w:pPr>
              <w:jc w:val="center"/>
            </w:pPr>
            <w:r/>
            <w:r>
              <w:rPr>
                <w:rFonts w:ascii="宋体" w:hAnsi="宋体" w:eastAsia="宋体"/>
                <w:b w:val="0"/>
                <w:sz w:val="19"/>
              </w:rPr>
              <w:t>B0 参考实现</w:t>
            </w:r>
          </w:p>
        </w:tc>
        <w:tc>
          <w:tcPr>
            <w:tcW w:type="dxa" w:w="1361"/>
          </w:tcPr>
          <w:p>
            <w:r>
              <w:t>—</w:t>
            </w:r>
          </w:p>
        </w:tc>
        <w:tc>
          <w:tcPr>
            <w:tcW w:type="dxa" w:w="1361"/>
          </w:tcPr>
          <w:p>
            <w:r>
              <w:t>1.0000</w:t>
            </w:r>
          </w:p>
        </w:tc>
        <w:tc>
          <w:tcPr>
            <w:tcW w:type="dxa" w:w="1701"/>
          </w:tcPr>
          <w:p>
            <w:r>
              <w:t>—</w:t>
            </w:r>
          </w:p>
        </w:tc>
        <w:tc>
          <w:tcPr>
            <w:tcW w:type="dxa" w:w="1587"/>
          </w:tcPr>
          <w:p>
            <w:r>
              <w:t>1.0000</w:t>
            </w:r>
          </w:p>
        </w:tc>
        <w:tc>
          <w:tcPr>
            <w:tcW w:type="dxa" w:w="1224"/>
          </w:tcPr>
          <w:p>
            <w:r>
              <w:t>50</w:t>
            </w:r>
          </w:p>
        </w:tc>
        <w:tc>
          <w:tcPr>
            <w:tcW w:type="dxa" w:w="1224"/>
          </w:tcPr>
          <w:p>
            <w:r>
              <w:t>—</w:t>
            </w:r>
          </w:p>
        </w:tc>
      </w:tr>
      <w:tr>
        <w:tc>
          <w:tcPr>
            <w:tcW w:type="dxa" w:w="2608"/>
          </w:tcPr>
          <w:p>
            <w:pPr>
              <w:jc w:val="center"/>
            </w:pPr>
            <w:r/>
            <w:r>
              <w:rPr>
                <w:rFonts w:ascii="宋体" w:hAnsi="宋体" w:eastAsia="宋体"/>
                <w:b w:val="0"/>
                <w:sz w:val="19"/>
              </w:rPr>
              <w:t>B1 无证据引导进化优化</w:t>
            </w:r>
          </w:p>
        </w:tc>
        <w:tc>
          <w:tcPr>
            <w:tcW w:type="dxa" w:w="1361"/>
          </w:tcPr>
          <w:p>
            <w:r>
              <w:t>1.0595</w:t>
            </w:r>
          </w:p>
        </w:tc>
        <w:tc>
          <w:tcPr>
            <w:tcW w:type="dxa" w:w="1361"/>
          </w:tcPr>
          <w:p>
            <w:r>
              <w:t>1.5236</w:t>
            </w:r>
          </w:p>
        </w:tc>
        <w:tc>
          <w:tcPr>
            <w:tcW w:type="dxa" w:w="1701"/>
          </w:tcPr>
          <w:p>
            <w:r>
              <w:t>0.9985</w:t>
            </w:r>
          </w:p>
        </w:tc>
        <w:tc>
          <w:tcPr>
            <w:tcW w:type="dxa" w:w="1587"/>
          </w:tcPr>
          <w:p>
            <w:r>
              <w:t>1.0190</w:t>
            </w:r>
          </w:p>
        </w:tc>
        <w:tc>
          <w:tcPr>
            <w:tcW w:type="dxa" w:w="1224"/>
          </w:tcPr>
          <w:p>
            <w:r>
              <w:t>50</w:t>
            </w:r>
          </w:p>
        </w:tc>
        <w:tc>
          <w:tcPr>
            <w:tcW w:type="dxa" w:w="1224"/>
          </w:tcPr>
          <w:p>
            <w:r>
              <w:t>17.02</w:t>
            </w:r>
          </w:p>
        </w:tc>
      </w:tr>
      <w:tr>
        <w:tc>
          <w:tcPr>
            <w:tcW w:type="dxa" w:w="2608"/>
          </w:tcPr>
          <w:p>
            <w:pPr>
              <w:jc w:val="center"/>
            </w:pPr>
            <w:r/>
            <w:r>
              <w:rPr>
                <w:rFonts w:ascii="宋体" w:hAnsi="宋体" w:eastAsia="宋体"/>
                <w:b w:val="0"/>
                <w:sz w:val="19"/>
              </w:rPr>
              <w:t>B2 大模型迭代优化</w:t>
            </w:r>
          </w:p>
        </w:tc>
        <w:tc>
          <w:tcPr>
            <w:tcW w:type="dxa" w:w="1361"/>
          </w:tcPr>
          <w:p>
            <w:r>
              <w:t>1.0814</w:t>
            </w:r>
          </w:p>
        </w:tc>
        <w:tc>
          <w:tcPr>
            <w:tcW w:type="dxa" w:w="1361"/>
          </w:tcPr>
          <w:p>
            <w:r>
              <w:t>1.5550</w:t>
            </w:r>
          </w:p>
        </w:tc>
        <w:tc>
          <w:tcPr>
            <w:tcW w:type="dxa" w:w="1701"/>
          </w:tcPr>
          <w:p>
            <w:r>
              <w:t>1.0001</w:t>
            </w:r>
          </w:p>
        </w:tc>
        <w:tc>
          <w:tcPr>
            <w:tcW w:type="dxa" w:w="1587"/>
          </w:tcPr>
          <w:p>
            <w:r>
              <w:t>1.0329</w:t>
            </w:r>
          </w:p>
        </w:tc>
        <w:tc>
          <w:tcPr>
            <w:tcW w:type="dxa" w:w="1224"/>
          </w:tcPr>
          <w:p>
            <w:r>
              <w:t>50</w:t>
            </w:r>
          </w:p>
        </w:tc>
        <w:tc>
          <w:tcPr>
            <w:tcW w:type="dxa" w:w="1224"/>
          </w:tcPr>
          <w:p>
            <w:r>
              <w:t>13.0</w:t>
            </w:r>
          </w:p>
        </w:tc>
      </w:tr>
      <w:tr>
        <w:tc>
          <w:tcPr>
            <w:tcW w:type="dxa" w:w="2608"/>
          </w:tcPr>
          <w:p>
            <w:pPr>
              <w:jc w:val="center"/>
            </w:pPr>
            <w:r/>
            <w:r>
              <w:rPr>
                <w:rFonts w:ascii="宋体" w:hAnsi="宋体" w:eastAsia="宋体"/>
                <w:b w:val="0"/>
                <w:sz w:val="19"/>
              </w:rPr>
              <w:t>FULL TritonEvo-NPU</w:t>
            </w:r>
          </w:p>
        </w:tc>
        <w:tc>
          <w:tcPr>
            <w:tcW w:type="dxa" w:w="1361"/>
          </w:tcPr>
          <w:p>
            <w:r>
              <w:t>1.1689</w:t>
            </w:r>
          </w:p>
        </w:tc>
        <w:tc>
          <w:tcPr>
            <w:tcW w:type="dxa" w:w="1361"/>
          </w:tcPr>
          <w:p>
            <w:r>
              <w:t>1.6808</w:t>
            </w:r>
          </w:p>
        </w:tc>
        <w:tc>
          <w:tcPr>
            <w:tcW w:type="dxa" w:w="1701"/>
          </w:tcPr>
          <w:p>
            <w:r>
              <w:t>1.0200</w:t>
            </w:r>
          </w:p>
        </w:tc>
        <w:tc>
          <w:tcPr>
            <w:tcW w:type="dxa" w:w="1587"/>
          </w:tcPr>
          <w:p>
            <w:r>
              <w:t>1.0951</w:t>
            </w:r>
          </w:p>
        </w:tc>
        <w:tc>
          <w:tcPr>
            <w:tcW w:type="dxa" w:w="1224"/>
          </w:tcPr>
          <w:p>
            <w:r>
              <w:t>50</w:t>
            </w:r>
          </w:p>
        </w:tc>
        <w:tc>
          <w:tcPr>
            <w:tcW w:type="dxa" w:w="1224"/>
          </w:tcPr>
          <w:p>
            <w:r>
              <w:t>19.42</w:t>
            </w:r>
          </w:p>
        </w:tc>
      </w:tr>
    </w:tbl>
    <w:p>
      <w:pPr>
        <w:spacing w:before="160" w:after="200"/>
        <w:jc w:val="center"/>
      </w:pPr>
      <w:r>
        <w:rPr>
          <w:rFonts w:ascii="黑体" w:hAnsi="黑体" w:eastAsia="黑体"/>
          <w:b/>
          <w:sz w:val="19"/>
        </w:rPr>
        <w:t>表4（b）按算子规模分组的 GM(S)</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r>
              <w:t>规模分组</w:t>
            </w:r>
          </w:p>
        </w:tc>
        <w:tc>
          <w:tcPr>
            <w:tcW w:type="dxa" w:w="1361"/>
          </w:tcPr>
          <w:p>
            <w:r>
              <w:t>Kernel 数</w:t>
            </w:r>
          </w:p>
        </w:tc>
        <w:tc>
          <w:tcPr>
            <w:tcW w:type="dxa" w:w="1361"/>
          </w:tcPr>
          <w:p>
            <w:r>
              <w:t>GM(S) B1</w:t>
            </w:r>
          </w:p>
        </w:tc>
        <w:tc>
          <w:tcPr>
            <w:tcW w:type="dxa" w:w="1701"/>
          </w:tcPr>
          <w:p>
            <w:r>
              <w:t>GM(S) B2</w:t>
            </w:r>
          </w:p>
        </w:tc>
        <w:tc>
          <w:tcPr>
            <w:tcW w:type="dxa" w:w="1587"/>
          </w:tcPr>
          <w:p>
            <w:r>
              <w:t>GM(S) FULL</w:t>
            </w:r>
          </w:p>
        </w:tc>
        <w:tc>
          <w:tcPr>
            <w:tcW w:type="dxa" w:w="1224"/>
          </w:tcPr>
          <w:p>
            <w:r>
              <w:t>中位数 S (FULL)</w:t>
            </w:r>
          </w:p>
        </w:tc>
        <w:tc>
          <w:tcPr>
            <w:tcW w:type="dxa" w:w="1224"/>
          </w:tcPr>
          <w:p>
            <w:r/>
          </w:p>
        </w:tc>
      </w:tr>
      <w:tr>
        <w:tc>
          <w:tcPr>
            <w:tcW w:type="dxa" w:w="2608"/>
          </w:tcPr>
          <w:p>
            <w:r>
              <w:t>短 (&lt;5μs)</w:t>
            </w:r>
          </w:p>
        </w:tc>
        <w:tc>
          <w:tcPr>
            <w:tcW w:type="dxa" w:w="1361"/>
          </w:tcPr>
          <w:p>
            <w:r>
              <w:t>26</w:t>
            </w:r>
          </w:p>
        </w:tc>
        <w:tc>
          <w:tcPr>
            <w:tcW w:type="dxa" w:w="1361"/>
          </w:tcPr>
          <w:p>
            <w:r>
              <w:t>1.0475</w:t>
            </w:r>
          </w:p>
        </w:tc>
        <w:tc>
          <w:tcPr>
            <w:tcW w:type="dxa" w:w="1701"/>
          </w:tcPr>
          <w:p>
            <w:r>
              <w:t>1.0544</w:t>
            </w:r>
          </w:p>
        </w:tc>
        <w:tc>
          <w:tcPr>
            <w:tcW w:type="dxa" w:w="1587"/>
          </w:tcPr>
          <w:p>
            <w:r>
              <w:t>1.1075</w:t>
            </w:r>
          </w:p>
        </w:tc>
        <w:tc>
          <w:tcPr>
            <w:tcW w:type="dxa" w:w="1224"/>
          </w:tcPr>
          <w:p>
            <w:r>
              <w:t>1.0236</w:t>
            </w:r>
          </w:p>
        </w:tc>
        <w:tc>
          <w:tcPr>
            <w:tcW w:type="dxa" w:w="1224"/>
          </w:tcPr>
          <w:p>
            <w:r/>
          </w:p>
        </w:tc>
      </w:tr>
      <w:tr>
        <w:tc>
          <w:tcPr>
            <w:tcW w:type="dxa" w:w="2608"/>
          </w:tcPr>
          <w:p>
            <w:r>
              <w:t>中 (5~100μs)</w:t>
            </w:r>
          </w:p>
        </w:tc>
        <w:tc>
          <w:tcPr>
            <w:tcW w:type="dxa" w:w="1361"/>
          </w:tcPr>
          <w:p>
            <w:r>
              <w:t>15</w:t>
            </w:r>
          </w:p>
        </w:tc>
        <w:tc>
          <w:tcPr>
            <w:tcW w:type="dxa" w:w="1361"/>
          </w:tcPr>
          <w:p>
            <w:r>
              <w:t>1.5269</w:t>
            </w:r>
          </w:p>
        </w:tc>
        <w:tc>
          <w:tcPr>
            <w:tcW w:type="dxa" w:w="1701"/>
          </w:tcPr>
          <w:p>
            <w:r>
              <w:t>1.6372</w:t>
            </w:r>
          </w:p>
        </w:tc>
        <w:tc>
          <w:tcPr>
            <w:tcW w:type="dxa" w:w="1587"/>
          </w:tcPr>
          <w:p>
            <w:r>
              <w:t>1.7632</w:t>
            </w:r>
          </w:p>
        </w:tc>
        <w:tc>
          <w:tcPr>
            <w:tcW w:type="dxa" w:w="1224"/>
          </w:tcPr>
          <w:p>
            <w:r>
              <w:t>1.4836</w:t>
            </w:r>
          </w:p>
        </w:tc>
        <w:tc>
          <w:tcPr>
            <w:tcW w:type="dxa" w:w="1224"/>
          </w:tcPr>
          <w:p>
            <w:r/>
          </w:p>
        </w:tc>
      </w:tr>
      <w:tr>
        <w:tc>
          <w:tcPr>
            <w:tcW w:type="dxa" w:w="2608"/>
          </w:tcPr>
          <w:p>
            <w:r>
              <w:t>长 (≥100μs)</w:t>
            </w:r>
          </w:p>
        </w:tc>
        <w:tc>
          <w:tcPr>
            <w:tcW w:type="dxa" w:w="1361"/>
          </w:tcPr>
          <w:p>
            <w:r>
              <w:t>9</w:t>
            </w:r>
          </w:p>
        </w:tc>
        <w:tc>
          <w:tcPr>
            <w:tcW w:type="dxa" w:w="1361"/>
          </w:tcPr>
          <w:p>
            <w:r>
              <w:t>4.4812</w:t>
            </w:r>
          </w:p>
        </w:tc>
        <w:tc>
          <w:tcPr>
            <w:tcW w:type="dxa" w:w="1701"/>
          </w:tcPr>
          <w:p>
            <w:r>
              <w:t>4.3849</w:t>
            </w:r>
          </w:p>
        </w:tc>
        <w:tc>
          <w:tcPr>
            <w:tcW w:type="dxa" w:w="1587"/>
          </w:tcPr>
          <w:p>
            <w:r>
              <w:t>5.1802</w:t>
            </w:r>
          </w:p>
        </w:tc>
        <w:tc>
          <w:tcPr>
            <w:tcW w:type="dxa" w:w="1224"/>
          </w:tcPr>
          <w:p>
            <w:r>
              <w:t>2.8704</w:t>
            </w:r>
          </w:p>
        </w:tc>
        <w:tc>
          <w:tcPr>
            <w:tcW w:type="dxa" w:w="1224"/>
          </w:tcPr>
          <w:p>
            <w:r/>
          </w:p>
        </w:tc>
      </w:tr>
    </w:tbl>
    <w:p>
      <w:pPr>
        <w:spacing w:after="40"/>
      </w:pPr>
    </w:p>
    <w:p>
      <w:pPr>
        <w:ind w:firstLine="420"/>
      </w:pPr>
      <w:r>
        <w:rPr>
          <w:rFonts w:ascii="宋体" w:hAnsi="宋体" w:eastAsia="宋体"/>
          <w:b w:val="0"/>
          <w:sz w:val="21"/>
        </w:rPr>
        <w:t>表中大模型调用数以每算子计。FULL 在搜索开始时额外进行 2 次分析调用（事实提取与策略蓝图生成），该开销不计入候选生成预算，因此在成本列中单独体现。</w:t>
      </w:r>
    </w:p>
    <w:p>
      <w:pPr>
        <w:ind w:firstLine="420"/>
      </w:pPr>
      <w:r>
        <w:rPr>
          <w:rFonts w:ascii="宋体" w:hAnsi="宋体" w:eastAsia="宋体"/>
          <w:b w:val="0"/>
          <w:sz w:val="21"/>
        </w:rPr>
        <w:t>结果分析：FULL 在全部四项指标上均优于两个对照方法。其 GM(S) 为 1.6808，较 B1（1.5236）高 10.3%，较 B2（1.5550）高 8.1%；中位数 S 为 1.0951，高于 B1 的 1.0190 与 B2 的 1.0329，说明该优势并非由少数极端算子贡献，而是在多数算子上稳定存在。</w:t>
      </w:r>
    </w:p>
    <w:p>
      <w:pPr>
        <w:ind w:firstLine="420"/>
      </w:pPr>
      <w:r>
        <w:rPr>
          <w:rFonts w:ascii="宋体" w:hAnsi="宋体" w:eastAsia="宋体"/>
          <w:b w:val="0"/>
          <w:sz w:val="21"/>
        </w:rPr>
        <w:t>值得注意的是，B2 的 GM(S) 略高于 B1，表明在缺少 Profiling 证据、知识库检索与策略驱动初始化的条件下，维护多种群的进化搜索并未显示出相对单轨迹大模型迭代的优势；而引入上述证据引导后，同一进化框架（FULL）显著超越了 B1 与 B2。这说明进化搜索本身的有效性依赖于证据引导所提供的候选质量，证据引导是该方法取得增益的关键，而非种群机制单独起作用。</w:t>
      </w:r>
    </w:p>
    <w:p>
      <w:pPr>
        <w:ind w:firstLine="420"/>
      </w:pPr>
      <w:r>
        <w:rPr>
          <w:rFonts w:ascii="宋体" w:hAnsi="宋体" w:eastAsia="宋体"/>
          <w:b w:val="0"/>
          <w:sz w:val="21"/>
        </w:rPr>
        <w:t>按参考实现延迟分组后可见显著的规模相关性：短延迟算子（&lt;5μs，26 个）上三种方法的收益均十分有限（FULL 为 1.1075），中延迟算子（5~100μs，15 个）上 FULL 达到 1.7632，长延迟算子（≥100μs，9 个）上进一步提升至 5.1802。其原因是短延迟算子的绝对执行时间已接近测量噪声水平，可供优化的空间本身很小；而计算密集的算子存在明确的访存与并行度优化空间，Profiling 证据与策略驱动初始化能够更准确地定位瓶颈。因此本方法的收益集中在中长延迟、计算密集的算子上。</w:t>
      </w:r>
    </w:p>
    <w:p>
      <w:pPr>
        <w:spacing w:before="200" w:after="80"/>
      </w:pPr>
      <w:r>
        <w:rPr>
          <w:rFonts w:ascii="黑体" w:hAnsi="黑体" w:eastAsia="黑体"/>
          <w:b/>
          <w:sz w:val="24"/>
        </w:rPr>
        <w:t>3.2 种子相似度阈值敏感性</w:t>
      </w:r>
    </w:p>
    <w:p>
      <w:pPr>
        <w:ind w:firstLine="420"/>
      </w:pPr>
      <w:r>
        <w:rPr>
          <w:rFonts w:ascii="宋体" w:hAnsi="宋体" w:eastAsia="宋体"/>
          <w:b w:val="0"/>
          <w:sz w:val="21"/>
        </w:rPr>
        <w:t>第 2.3.1 节的种子去重机制依赖源码相似度阈值 τ。本节通过敏感性分析在 17 个对阈值敏感的算子上标定该取值，结果为 τ=0.90，3.1 主实验采用该值。实验比较不筛选以及 τ 取 0.70、0.80、0.85、0.90、0.95 共六种设置。为控制敏感性扫描成本，每种设置采用每算子 5 次 NPU 评测的便宜层预算；因此本节 GM(S) 用于六种阈值设置之间的横向比较，不与 3.1 的 13 次完整搜索预算作绝对数值比较。</w:t>
      </w:r>
    </w:p>
    <w:p>
      <w:pPr>
        <w:ind w:firstLine="420"/>
      </w:pPr>
      <w:r>
        <w:rPr>
          <w:rFonts w:ascii="宋体" w:hAnsi="宋体" w:eastAsia="宋体"/>
          <w:b w:val="0"/>
          <w:sz w:val="21"/>
        </w:rPr>
        <w:t>对 50 个算子的种子源码相似度统计表明，其取值范围为 0.096 至 1.000，中位数为 0.857；其中相似度低于 0.70 的算子有 20 个，在任何候选 τ 下均不会触发过滤，相似度不低于 0.95 的算子有 13 个，在任何候选 τ 下均会被过滤，这两类共 33 个算子对 τ 不敏感。因此本节的对比实验在其余 17 个对 τ 敏感的算子上进行，而仅依赖相似度分布即可计算的种子保留率仍在全部 50 个算子上报告。</w:t>
      </w:r>
    </w:p>
    <w:p>
      <w:pPr>
        <w:ind w:firstLine="420"/>
      </w:pPr>
      <w:r>
        <w:rPr>
          <w:rFonts w:ascii="宋体" w:hAnsi="宋体" w:eastAsia="宋体"/>
          <w:b w:val="0"/>
          <w:sz w:val="21"/>
        </w:rPr>
        <w:t>种子保留率定义为筛选后保留种子数占原始种子数的比例，可在全部算子上按相似度直接统计得到。第 0 代多样性 D_G0 在第 0 代种群的全部个体上计算：对其中所有不同的候选个体两两计算 SequenceMatcher 源码相似度，令 n 为该代不同候选的数目，则</w:t>
      </w:r>
    </w:p>
    <w:p>
      <w:pPr>
        <w:spacing w:before="80" w:after="80"/>
        <w:jc w:val="center"/>
      </w:pPr>
      <w:r>
        <w:rPr>
          <w:rFonts w:ascii="Times New Roman" w:hAnsi="Times New Roman" w:eastAsia="Times New Roman"/>
          <w:b w:val="0"/>
          <w:i/>
          <w:sz w:val="21"/>
        </w:rPr>
        <w:t>D_G0 = 1 − (2 / (n(n−1))) · Σ_{i&lt;j} sim(c_i, c_j)</w:t>
      </w:r>
    </w:p>
    <w:p>
      <w:pPr>
        <w:ind w:firstLine="420"/>
      </w:pPr>
      <w:r>
        <w:rPr>
          <w:rFonts w:ascii="宋体" w:hAnsi="宋体" w:eastAsia="宋体"/>
          <w:b w:val="0"/>
          <w:sz w:val="21"/>
        </w:rPr>
        <w:t>D_G0 越大表示第 0 代候选之间的结构差异越明显。有效候选率定义为最终完成编译、功能验证并获得有效延迟的候选数占送交 NPU 评测候选数的比例；被 AST 静态预检查拒绝的候选不进入该分母，其数量另由 AST 通过率单独统计。最终加速比沿用 3.1 的 GM(S)。表中同时给出相邻设置之间实际发生决策变化的算子数 ΔN，用于区分哪些阈值区间真正具有分辨意义。</w:t>
      </w:r>
    </w:p>
    <w:p>
      <w:pPr>
        <w:spacing w:before="160" w:after="200"/>
        <w:jc w:val="center"/>
      </w:pPr>
      <w:r>
        <w:rPr>
          <w:rFonts w:ascii="黑体" w:hAnsi="黑体" w:eastAsia="黑体"/>
          <w:b/>
          <w:sz w:val="19"/>
        </w:rPr>
        <w:t>表5 种子相似度阈值敏感性</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247"/>
          </w:tcPr>
          <w:p>
            <w:pPr>
              <w:jc w:val="center"/>
            </w:pPr>
            <w:r/>
            <w:r>
              <w:rPr>
                <w:rFonts w:ascii="黑体" w:hAnsi="黑体" w:eastAsia="黑体"/>
                <w:b/>
                <w:sz w:val="19"/>
              </w:rPr>
              <w:t>阈值 τ</w:t>
            </w:r>
          </w:p>
        </w:tc>
        <w:tc>
          <w:tcPr>
            <w:tcW w:type="dxa" w:w="1474"/>
          </w:tcPr>
          <w:p>
            <w:pPr>
              <w:jc w:val="center"/>
            </w:pPr>
            <w:r/>
            <w:r>
              <w:rPr>
                <w:rFonts w:ascii="黑体" w:hAnsi="黑体" w:eastAsia="黑体"/>
                <w:b/>
                <w:sz w:val="19"/>
              </w:rPr>
              <w:t>种子保留率</w:t>
            </w:r>
          </w:p>
        </w:tc>
        <w:tc>
          <w:tcPr>
            <w:tcW w:type="dxa" w:w="907"/>
          </w:tcPr>
          <w:p>
            <w:pPr>
              <w:jc w:val="center"/>
            </w:pPr>
            <w:r/>
            <w:r>
              <w:rPr>
                <w:rFonts w:ascii="黑体" w:hAnsi="黑体" w:eastAsia="黑体"/>
                <w:b/>
                <w:sz w:val="19"/>
              </w:rPr>
              <w:t>ΔN</w:t>
            </w:r>
          </w:p>
        </w:tc>
        <w:tc>
          <w:tcPr>
            <w:tcW w:type="dxa" w:w="1814"/>
          </w:tcPr>
          <w:p>
            <w:pPr>
              <w:jc w:val="center"/>
            </w:pPr>
            <w:r/>
            <w:r>
              <w:rPr>
                <w:rFonts w:ascii="黑体" w:hAnsi="黑体" w:eastAsia="黑体"/>
                <w:b/>
                <w:sz w:val="19"/>
              </w:rPr>
              <w:t>第0代多样性 D_G0</w:t>
            </w:r>
          </w:p>
        </w:tc>
        <w:tc>
          <w:tcPr>
            <w:tcW w:type="dxa" w:w="1361"/>
          </w:tcPr>
          <w:p>
            <w:pPr>
              <w:jc w:val="center"/>
            </w:pPr>
            <w:r/>
            <w:r>
              <w:rPr>
                <w:rFonts w:ascii="黑体" w:hAnsi="黑体" w:eastAsia="黑体"/>
                <w:b/>
                <w:sz w:val="19"/>
              </w:rPr>
              <w:t>有效候选率</w:t>
            </w:r>
          </w:p>
        </w:tc>
        <w:tc>
          <w:tcPr>
            <w:tcW w:type="dxa" w:w="1474"/>
          </w:tcPr>
          <w:p>
            <w:pPr>
              <w:jc w:val="center"/>
            </w:pPr>
            <w:r/>
            <w:r>
              <w:rPr>
                <w:rFonts w:ascii="黑体" w:hAnsi="黑体" w:eastAsia="黑体"/>
                <w:b/>
                <w:sz w:val="19"/>
              </w:rPr>
              <w:t>GM(S)</w:t>
            </w:r>
          </w:p>
        </w:tc>
      </w:tr>
      <w:tr>
        <w:tc>
          <w:tcPr>
            <w:tcW w:type="dxa" w:w="1247"/>
          </w:tcPr>
          <w:p>
            <w:pPr>
              <w:jc w:val="center"/>
            </w:pPr>
            <w:r/>
            <w:r>
              <w:rPr>
                <w:rFonts w:ascii="宋体" w:hAnsi="宋体" w:eastAsia="宋体"/>
                <w:b w:val="0"/>
                <w:sz w:val="19"/>
              </w:rPr>
              <w:t>不筛选</w:t>
            </w:r>
          </w:p>
        </w:tc>
        <w:tc>
          <w:tcPr>
            <w:tcW w:type="dxa" w:w="1474"/>
          </w:tcPr>
          <w:p>
            <w:r>
              <w:t>100.0%</w:t>
            </w:r>
          </w:p>
        </w:tc>
        <w:tc>
          <w:tcPr>
            <w:tcW w:type="dxa" w:w="907"/>
          </w:tcPr>
          <w:p>
            <w:r>
              <w:t>—</w:t>
            </w:r>
          </w:p>
        </w:tc>
        <w:tc>
          <w:tcPr>
            <w:tcW w:type="dxa" w:w="1814"/>
          </w:tcPr>
          <w:p>
            <w:r>
              <w:t>0.2800</w:t>
            </w:r>
          </w:p>
        </w:tc>
        <w:tc>
          <w:tcPr>
            <w:tcW w:type="dxa" w:w="1361"/>
          </w:tcPr>
          <w:p>
            <w:r>
              <w:t>100.0%</w:t>
            </w:r>
          </w:p>
        </w:tc>
        <w:tc>
          <w:tcPr>
            <w:tcW w:type="dxa" w:w="1474"/>
          </w:tcPr>
          <w:p>
            <w:r>
              <w:t>1.1315</w:t>
            </w:r>
          </w:p>
        </w:tc>
      </w:tr>
      <w:tr>
        <w:tc>
          <w:tcPr>
            <w:tcW w:type="dxa" w:w="1247"/>
          </w:tcPr>
          <w:p>
            <w:pPr>
              <w:jc w:val="center"/>
            </w:pPr>
            <w:r/>
            <w:r>
              <w:rPr>
                <w:rFonts w:ascii="宋体" w:hAnsi="宋体" w:eastAsia="宋体"/>
                <w:b w:val="0"/>
                <w:sz w:val="19"/>
              </w:rPr>
              <w:t>0.70</w:t>
            </w:r>
          </w:p>
        </w:tc>
        <w:tc>
          <w:tcPr>
            <w:tcW w:type="dxa" w:w="1474"/>
          </w:tcPr>
          <w:p>
            <w:r>
              <w:t>70.0%</w:t>
            </w:r>
          </w:p>
        </w:tc>
        <w:tc>
          <w:tcPr>
            <w:tcW w:type="dxa" w:w="907"/>
          </w:tcPr>
          <w:p>
            <w:r>
              <w:t>30</w:t>
            </w:r>
          </w:p>
        </w:tc>
        <w:tc>
          <w:tcPr>
            <w:tcW w:type="dxa" w:w="1814"/>
          </w:tcPr>
          <w:p>
            <w:r>
              <w:t>0.2844</w:t>
            </w:r>
          </w:p>
        </w:tc>
        <w:tc>
          <w:tcPr>
            <w:tcW w:type="dxa" w:w="1361"/>
          </w:tcPr>
          <w:p>
            <w:r>
              <w:t>68.2%</w:t>
            </w:r>
          </w:p>
        </w:tc>
        <w:tc>
          <w:tcPr>
            <w:tcW w:type="dxa" w:w="1474"/>
          </w:tcPr>
          <w:p>
            <w:r>
              <w:t>1.1664</w:t>
            </w:r>
          </w:p>
        </w:tc>
      </w:tr>
      <w:tr>
        <w:tc>
          <w:tcPr>
            <w:tcW w:type="dxa" w:w="1247"/>
          </w:tcPr>
          <w:p>
            <w:pPr>
              <w:jc w:val="center"/>
            </w:pPr>
            <w:r/>
            <w:r>
              <w:rPr>
                <w:rFonts w:ascii="宋体" w:hAnsi="宋体" w:eastAsia="宋体"/>
                <w:b w:val="0"/>
                <w:sz w:val="19"/>
              </w:rPr>
              <w:t>0.80</w:t>
            </w:r>
          </w:p>
        </w:tc>
        <w:tc>
          <w:tcPr>
            <w:tcW w:type="dxa" w:w="1474"/>
          </w:tcPr>
          <w:p>
            <w:r>
              <w:t>72.0%</w:t>
            </w:r>
          </w:p>
        </w:tc>
        <w:tc>
          <w:tcPr>
            <w:tcW w:type="dxa" w:w="907"/>
          </w:tcPr>
          <w:p>
            <w:r>
              <w:t>2</w:t>
            </w:r>
          </w:p>
        </w:tc>
        <w:tc>
          <w:tcPr>
            <w:tcW w:type="dxa" w:w="1814"/>
          </w:tcPr>
          <w:p>
            <w:r>
              <w:t>0.2773</w:t>
            </w:r>
          </w:p>
        </w:tc>
        <w:tc>
          <w:tcPr>
            <w:tcW w:type="dxa" w:w="1361"/>
          </w:tcPr>
          <w:p>
            <w:r>
              <w:t>77.3%</w:t>
            </w:r>
          </w:p>
        </w:tc>
        <w:tc>
          <w:tcPr>
            <w:tcW w:type="dxa" w:w="1474"/>
          </w:tcPr>
          <w:p>
            <w:r>
              <w:t>1.1323</w:t>
            </w:r>
          </w:p>
        </w:tc>
      </w:tr>
      <w:tr>
        <w:tc>
          <w:tcPr>
            <w:tcW w:type="dxa" w:w="1247"/>
          </w:tcPr>
          <w:p>
            <w:pPr>
              <w:jc w:val="center"/>
            </w:pPr>
            <w:r/>
            <w:r>
              <w:rPr>
                <w:rFonts w:ascii="宋体" w:hAnsi="宋体" w:eastAsia="宋体"/>
                <w:b w:val="0"/>
                <w:sz w:val="19"/>
              </w:rPr>
              <w:t>0.85</w:t>
            </w:r>
          </w:p>
        </w:tc>
        <w:tc>
          <w:tcPr>
            <w:tcW w:type="dxa" w:w="1474"/>
          </w:tcPr>
          <w:p>
            <w:r>
              <w:t>75.0%</w:t>
            </w:r>
          </w:p>
        </w:tc>
        <w:tc>
          <w:tcPr>
            <w:tcW w:type="dxa" w:w="907"/>
          </w:tcPr>
          <w:p>
            <w:r>
              <w:t>3</w:t>
            </w:r>
          </w:p>
        </w:tc>
        <w:tc>
          <w:tcPr>
            <w:tcW w:type="dxa" w:w="1814"/>
          </w:tcPr>
          <w:p>
            <w:r>
              <w:t>0.2682</w:t>
            </w:r>
          </w:p>
        </w:tc>
        <w:tc>
          <w:tcPr>
            <w:tcW w:type="dxa" w:w="1361"/>
          </w:tcPr>
          <w:p>
            <w:r>
              <w:t>72.6%</w:t>
            </w:r>
          </w:p>
        </w:tc>
        <w:tc>
          <w:tcPr>
            <w:tcW w:type="dxa" w:w="1474"/>
          </w:tcPr>
          <w:p>
            <w:r>
              <w:t>1.1220</w:t>
            </w:r>
          </w:p>
        </w:tc>
      </w:tr>
      <w:tr>
        <w:tc>
          <w:tcPr>
            <w:tcW w:type="dxa" w:w="1247"/>
          </w:tcPr>
          <w:p>
            <w:pPr>
              <w:jc w:val="center"/>
            </w:pPr>
            <w:r/>
            <w:r>
              <w:rPr>
                <w:rFonts w:ascii="宋体" w:hAnsi="宋体" w:eastAsia="宋体"/>
                <w:b w:val="0"/>
                <w:sz w:val="19"/>
              </w:rPr>
              <w:t>0.90</w:t>
            </w:r>
          </w:p>
        </w:tc>
        <w:tc>
          <w:tcPr>
            <w:tcW w:type="dxa" w:w="1474"/>
          </w:tcPr>
          <w:p>
            <w:r>
              <w:t>78.0%</w:t>
            </w:r>
          </w:p>
        </w:tc>
        <w:tc>
          <w:tcPr>
            <w:tcW w:type="dxa" w:w="907"/>
          </w:tcPr>
          <w:p>
            <w:r>
              <w:t>3</w:t>
            </w:r>
          </w:p>
        </w:tc>
        <w:tc>
          <w:tcPr>
            <w:tcW w:type="dxa" w:w="1814"/>
          </w:tcPr>
          <w:p>
            <w:r>
              <w:t>0.2942</w:t>
            </w:r>
          </w:p>
        </w:tc>
        <w:tc>
          <w:tcPr>
            <w:tcW w:type="dxa" w:w="1361"/>
          </w:tcPr>
          <w:p>
            <w:r>
              <w:t>70.3%</w:t>
            </w:r>
          </w:p>
        </w:tc>
        <w:tc>
          <w:tcPr>
            <w:tcW w:type="dxa" w:w="1474"/>
          </w:tcPr>
          <w:p>
            <w:r>
              <w:t>1.2547</w:t>
            </w:r>
          </w:p>
        </w:tc>
      </w:tr>
      <w:tr>
        <w:tc>
          <w:tcPr>
            <w:tcW w:type="dxa" w:w="1247"/>
          </w:tcPr>
          <w:p>
            <w:pPr>
              <w:jc w:val="center"/>
            </w:pPr>
            <w:r/>
            <w:r>
              <w:rPr>
                <w:rFonts w:ascii="宋体" w:hAnsi="宋体" w:eastAsia="宋体"/>
                <w:b w:val="0"/>
                <w:sz w:val="19"/>
              </w:rPr>
              <w:t>0.95</w:t>
            </w:r>
          </w:p>
        </w:tc>
        <w:tc>
          <w:tcPr>
            <w:tcW w:type="dxa" w:w="1474"/>
          </w:tcPr>
          <w:p>
            <w:r>
              <w:t>86.0%</w:t>
            </w:r>
          </w:p>
        </w:tc>
        <w:tc>
          <w:tcPr>
            <w:tcW w:type="dxa" w:w="907"/>
          </w:tcPr>
          <w:p>
            <w:r>
              <w:t>8</w:t>
            </w:r>
          </w:p>
        </w:tc>
        <w:tc>
          <w:tcPr>
            <w:tcW w:type="dxa" w:w="1814"/>
          </w:tcPr>
          <w:p>
            <w:r>
              <w:t>0.3045</w:t>
            </w:r>
          </w:p>
        </w:tc>
        <w:tc>
          <w:tcPr>
            <w:tcW w:type="dxa" w:w="1361"/>
          </w:tcPr>
          <w:p>
            <w:r>
              <w:t>76.5%</w:t>
            </w:r>
          </w:p>
        </w:tc>
        <w:tc>
          <w:tcPr>
            <w:tcW w:type="dxa" w:w="1474"/>
          </w:tcPr>
          <w:p>
            <w:r>
              <w:t>1.1770</w:t>
            </w:r>
          </w:p>
        </w:tc>
      </w:tr>
    </w:tbl>
    <w:p>
      <w:pPr>
        <w:spacing w:after="40"/>
      </w:pPr>
    </w:p>
    <w:p>
      <w:pPr>
        <w:ind w:firstLine="420"/>
      </w:pPr>
      <w:r>
        <w:rPr>
          <w:rFonts w:ascii="宋体" w:hAnsi="宋体" w:eastAsia="宋体"/>
          <w:b w:val="0"/>
          <w:sz w:val="21"/>
        </w:rPr>
        <w:t>在 17 个对 τ 敏感的算子上测得。六种设置均覆盖相同的 17 个算子，因此各行的 GM(S) 具有可比性。</w:t>
      </w:r>
    </w:p>
    <w:p>
      <w:pPr>
        <w:spacing w:line="360" w:lineRule="auto" w:after="120"/>
        <w:ind w:firstLine="420"/>
      </w:pPr>
      <w:r>
        <w:rPr>
          <w:rFonts w:ascii="宋体" w:hAnsi="宋体" w:eastAsia="宋体"/>
          <w:sz w:val="21"/>
        </w:rPr>
        <w:t>由表5可见，不设置去重时 GM(S) 为 1.1315；启用去重后，τ=0.70、0.80、0.90 和 0.95 的 GM(S) 高于该基准，而 τ=0.85 略低。τ=0.90 取得六种设置中的最高值 1.2547，较不筛选提升 10.9%。这表明种子去重的收益依赖阈值选择，合理阈值能够减少冗余种子并改善有限预算下的搜索起点。</w:t>
      </w:r>
    </w:p>
    <w:p>
      <w:pPr>
        <w:spacing w:line="360" w:lineRule="auto" w:after="120"/>
        <w:ind w:firstLine="420"/>
      </w:pPr>
      <w:r>
        <w:rPr>
          <w:rFonts w:ascii="宋体" w:hAnsi="宋体" w:eastAsia="宋体"/>
          <w:sz w:val="21"/>
        </w:rPr>
        <w:t>从不筛选切换到 τ=0.70 时，有 30 个算子的种子保留决策发生变化；而 τ 在 0.70 至 0.95 之间移动时，决策变化的算子数仅为 2 至 8 个（ΔN 列），说明机制启停造成的结构变化大于相邻阈值微调。在 τ 取 0.70 至 0.95 的区间内，GM(S) 介于 1.1220 与 1.2547 之间。由于每种设置仅执行一轮搜索且采用 5-eval 预算，这些差异仍可能包含采样波动；本文据观测最优值选择 τ=0.90，而不将该单次扫描解释为统计显著性结论。</w:t>
      </w:r>
    </w:p>
    <w:p>
      <w:pPr>
        <w:spacing w:line="360" w:lineRule="auto" w:after="120"/>
        <w:ind w:firstLine="420"/>
      </w:pPr>
      <w:r>
        <w:rPr>
          <w:rFonts w:ascii="宋体" w:hAnsi="宋体" w:eastAsia="宋体"/>
          <w:sz w:val="21"/>
        </w:rPr>
        <w:t>需要指出的是，D_G0 的最大值出现在 τ=0.95（0.3045），但该设置下的 GM(S) 并非最高。这说明第 0 代多样性需要与最终加速比结合判断，单一的多样性指标并不直接对应搜索收益。综合 D_G0 与 GM(S)，τ=0.90 在本次扫描中取得最高 GM(S)=1.2547，因此 3.1 主实验采用该取值。</w:t>
      </w:r>
    </w:p>
    <w:p>
      <w:pPr>
        <w:spacing w:before="200" w:after="80"/>
      </w:pPr>
      <w:r>
        <w:rPr>
          <w:rFonts w:ascii="黑体" w:hAnsi="黑体" w:eastAsia="黑体"/>
          <w:b/>
          <w:sz w:val="24"/>
        </w:rPr>
        <w:t>3.3 Profiling 证据与知识库检索策略消融</w:t>
      </w:r>
    </w:p>
    <w:p>
      <w:pPr>
        <w:ind w:firstLine="420"/>
      </w:pPr>
      <w:r>
        <w:rPr>
          <w:rFonts w:ascii="宋体" w:hAnsi="宋体" w:eastAsia="宋体"/>
          <w:b w:val="0"/>
          <w:sz w:val="21"/>
        </w:rPr>
        <w:t>本实验验证硬件证据和知识库检索是否能够提高候选质量。实验固定进化算子和搜索预算，只改变 Profiling 证据的注入与知识库的检索方式，共设置四种配置：A6 关闭 Profiling 证据但保留受约束 RAG；B3 启用 Profiling 但不使用知识库；B4 启用 Profiling 并使用普通语义 Top-k 检索，即仅按查询与知识项的向量语义相似度排序，不使用词法匹配、类别与置信度重排，也不附加 Guard 约束；FULL 启用 Profiling 并采用混合重排加 Guard 的检索方式。四种配置的第 0 代候选数量、进化代数、NPU 评测预算与设备测试协议完全相同。本节以及后续 3.4 各节的消融实验，均统一在 3.1 主实验所用 50 个算子中选取的 15 个代表性算子子集上进行；该子集的参考实现延迟覆盖 1.58 至 526.83 μs，跨三个数量级，且各延迟档的占比与 50 个算子的全集基本一致，因此可以保证跨小节的口径可比。</w:t>
      </w:r>
    </w:p>
    <w:p>
      <w:pPr>
        <w:ind w:firstLine="420"/>
      </w:pPr>
      <w:r>
        <w:rPr>
          <w:rFonts w:ascii="宋体" w:hAnsi="宋体" w:eastAsia="宋体"/>
          <w:b w:val="0"/>
          <w:sz w:val="21"/>
        </w:rPr>
        <w:t>主表统一使用同一批 15 个代表性算子和正式 r0 日志，以最终加速比 GM(S) 为主指标，有效候选率的数值在结果分析中一并给出。有效候选率表示送交 NPU 评测的候选中，最终完成编译、功能验证并获得有效延迟的比例；GM(S) 使用与 3.1 一致的串行复测口径。各配置实际送评测数为 187 至 194，差异来自 AST 拒绝或候选生成不足，因此有效候选率按各配置实际送评测数计算。编译成功率、功能通过率和 AST 拒绝原因仍保留在实验日志中。其中 FULL 行同样按该 15 个算子单独统计（送交 NPU 评测 187 次、有效候选 164 个），与 3.1 主实验覆盖 50 个算子的口径相区分。</w:t>
      </w:r>
      <w:r/>
    </w:p>
    <w:p>
      <w:pPr>
        <w:spacing w:before="160" w:after="200"/>
        <w:jc w:val="center"/>
      </w:pPr>
      <w:r>
        <w:rPr>
          <w:rFonts w:ascii="黑体" w:hAnsi="黑体" w:eastAsia="黑体"/>
          <w:b/>
          <w:sz w:val="19"/>
        </w:rPr>
        <w:t>表6 Profiling 证据与知识库检索策略消融</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20"/>
          </w:tcPr>
          <w:p>
            <w:pPr>
              <w:jc w:val="center"/>
            </w:pPr>
            <w:r/>
            <w:r>
              <w:rPr>
                <w:rFonts w:ascii="黑体" w:hAnsi="黑体" w:eastAsia="黑体"/>
                <w:b/>
                <w:sz w:val="19"/>
              </w:rPr>
              <w:t>配置</w:t>
            </w:r>
          </w:p>
        </w:tc>
        <w:tc>
          <w:tcPr>
            <w:tcW w:type="dxa" w:w="1247"/>
          </w:tcPr>
          <w:p>
            <w:pPr>
              <w:jc w:val="center"/>
            </w:pPr>
            <w:r/>
            <w:r>
              <w:rPr>
                <w:rFonts w:ascii="黑体" w:hAnsi="黑体" w:eastAsia="黑体"/>
                <w:b/>
                <w:sz w:val="19"/>
              </w:rPr>
              <w:t>Profiling</w:t>
            </w:r>
          </w:p>
        </w:tc>
        <w:tc>
          <w:tcPr>
            <w:tcW w:type="dxa" w:w="3061"/>
          </w:tcPr>
          <w:p>
            <w:pPr>
              <w:jc w:val="center"/>
            </w:pPr>
            <w:r/>
            <w:r>
              <w:rPr>
                <w:rFonts w:ascii="黑体" w:hAnsi="黑体" w:eastAsia="黑体"/>
                <w:b/>
                <w:sz w:val="19"/>
              </w:rPr>
              <w:t>RAG 方式</w:t>
            </w:r>
          </w:p>
        </w:tc>
        <w:tc>
          <w:tcPr>
            <w:tcW w:type="dxa" w:w="1361"/>
          </w:tcPr>
          <w:p>
            <w:pPr>
              <w:jc w:val="center"/>
            </w:pPr>
            <w:r/>
            <w:r>
              <w:rPr>
                <w:rFonts w:ascii="黑体" w:hAnsi="黑体" w:eastAsia="黑体"/>
                <w:b/>
                <w:sz w:val="19"/>
              </w:rPr>
              <w:t>GM(S)</w:t>
            </w:r>
          </w:p>
        </w:tc>
      </w:tr>
      <w:tr>
        <w:tc>
          <w:tcPr>
            <w:tcW w:type="dxa" w:w="1020"/>
          </w:tcPr>
          <w:p>
            <w:pPr>
              <w:jc w:val="center"/>
            </w:pPr>
            <w:r/>
            <w:r>
              <w:rPr>
                <w:rFonts w:ascii="宋体" w:hAnsi="宋体" w:eastAsia="宋体"/>
                <w:b w:val="0"/>
                <w:sz w:val="19"/>
              </w:rPr>
              <w:t>A6</w:t>
            </w:r>
          </w:p>
        </w:tc>
        <w:tc>
          <w:tcPr>
            <w:tcW w:type="dxa" w:w="1247"/>
          </w:tcPr>
          <w:p>
            <w:pPr>
              <w:jc w:val="center"/>
            </w:pPr>
            <w:r/>
            <w:r>
              <w:rPr>
                <w:rFonts w:ascii="宋体" w:hAnsi="宋体" w:eastAsia="宋体"/>
                <w:b w:val="0"/>
                <w:sz w:val="19"/>
              </w:rPr>
              <w:t>关闭</w:t>
            </w:r>
          </w:p>
        </w:tc>
        <w:tc>
          <w:tcPr>
            <w:tcW w:type="dxa" w:w="3061"/>
          </w:tcPr>
          <w:p>
            <w:pPr>
              <w:jc w:val="center"/>
            </w:pPr>
            <w:r/>
            <w:r>
              <w:rPr>
                <w:rFonts w:ascii="宋体" w:hAnsi="宋体" w:eastAsia="宋体"/>
                <w:b w:val="0"/>
                <w:sz w:val="19"/>
              </w:rPr>
              <w:t>受约束 RAG（混合重排+Guard）</w:t>
            </w:r>
          </w:p>
        </w:tc>
        <w:tc>
          <w:tcPr>
            <w:tcW w:type="dxa" w:w="1361"/>
          </w:tcPr>
          <w:p>
            <w:pPr>
              <w:jc w:val="center"/>
            </w:pPr>
            <w:r/>
            <w:r>
              <w:rPr>
                <w:rFonts w:ascii="宋体" w:hAnsi="宋体" w:eastAsia="宋体"/>
                <w:b w:val="0"/>
                <w:sz w:val="19"/>
              </w:rPr>
              <w:t>2.2566</w:t>
            </w:r>
          </w:p>
        </w:tc>
      </w:tr>
      <w:tr>
        <w:tc>
          <w:tcPr>
            <w:tcW w:type="dxa" w:w="1020"/>
          </w:tcPr>
          <w:p>
            <w:pPr>
              <w:jc w:val="center"/>
            </w:pPr>
            <w:r/>
            <w:r>
              <w:rPr>
                <w:rFonts w:ascii="宋体" w:hAnsi="宋体" w:eastAsia="宋体"/>
                <w:b w:val="0"/>
                <w:sz w:val="19"/>
              </w:rPr>
              <w:t>B3</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无 RAG</w:t>
            </w:r>
          </w:p>
        </w:tc>
        <w:tc>
          <w:tcPr>
            <w:tcW w:type="dxa" w:w="1361"/>
          </w:tcPr>
          <w:p>
            <w:pPr>
              <w:jc w:val="center"/>
            </w:pPr>
            <w:r/>
            <w:r>
              <w:rPr>
                <w:rFonts w:ascii="宋体" w:hAnsi="宋体" w:eastAsia="宋体"/>
                <w:b w:val="0"/>
                <w:sz w:val="19"/>
              </w:rPr>
              <w:t>2.2715</w:t>
            </w:r>
          </w:p>
        </w:tc>
      </w:tr>
      <w:tr>
        <w:tc>
          <w:tcPr>
            <w:tcW w:type="dxa" w:w="1020"/>
          </w:tcPr>
          <w:p>
            <w:pPr>
              <w:jc w:val="center"/>
            </w:pPr>
            <w:r/>
            <w:r>
              <w:rPr>
                <w:rFonts w:ascii="宋体" w:hAnsi="宋体" w:eastAsia="宋体"/>
                <w:b w:val="0"/>
                <w:sz w:val="19"/>
              </w:rPr>
              <w:t>B4</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普通语义 Top-k</w:t>
            </w:r>
          </w:p>
        </w:tc>
        <w:tc>
          <w:tcPr>
            <w:tcW w:type="dxa" w:w="1361"/>
          </w:tcPr>
          <w:p>
            <w:pPr>
              <w:jc w:val="center"/>
            </w:pPr>
            <w:r/>
            <w:r>
              <w:rPr>
                <w:rFonts w:ascii="宋体" w:hAnsi="宋体" w:eastAsia="宋体"/>
                <w:b w:val="0"/>
                <w:sz w:val="19"/>
              </w:rPr>
              <w:t>1.9697</w:t>
            </w:r>
          </w:p>
        </w:tc>
      </w:tr>
      <w:tr>
        <w:tc>
          <w:tcPr>
            <w:tcW w:type="dxa" w:w="1020"/>
          </w:tcPr>
          <w:p>
            <w:pPr>
              <w:jc w:val="center"/>
            </w:pPr>
            <w:r>
              <w:t>A7</w:t>
            </w:r>
          </w:p>
        </w:tc>
        <w:tc>
          <w:tcPr>
            <w:tcW w:type="dxa" w:w="1247"/>
          </w:tcPr>
          <w:p>
            <w:pPr>
              <w:jc w:val="center"/>
            </w:pPr>
            <w:r>
              <w:t>关闭</w:t>
            </w:r>
          </w:p>
        </w:tc>
        <w:tc>
          <w:tcPr>
            <w:tcW w:type="dxa" w:w="3061"/>
          </w:tcPr>
          <w:p>
            <w:pPr>
              <w:jc w:val="center"/>
            </w:pPr>
            <w:r>
              <w:t>无 RAG</w:t>
            </w:r>
          </w:p>
        </w:tc>
        <w:tc>
          <w:tcPr>
            <w:tcW w:type="dxa" w:w="1361"/>
          </w:tcPr>
          <w:p>
            <w:pPr>
              <w:jc w:val="center"/>
            </w:pPr>
            <w:r>
              <w:t>2.1738</w:t>
            </w:r>
          </w:p>
        </w:tc>
      </w:tr>
      <w:tr>
        <w:tc>
          <w:tcPr>
            <w:tcW w:type="dxa" w:w="1020"/>
          </w:tcPr>
          <w:p>
            <w:pPr>
              <w:jc w:val="center"/>
            </w:pPr>
            <w:r/>
            <w:r>
              <w:rPr>
                <w:rFonts w:ascii="宋体" w:hAnsi="宋体" w:eastAsia="宋体"/>
                <w:b w:val="0"/>
                <w:sz w:val="19"/>
              </w:rPr>
              <w:t>FULL</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混合重排+Guard</w:t>
            </w:r>
          </w:p>
        </w:tc>
        <w:tc>
          <w:tcPr>
            <w:tcW w:type="dxa" w:w="1361"/>
          </w:tcPr>
          <w:p>
            <w:pPr>
              <w:jc w:val="center"/>
            </w:pPr>
            <w:r/>
            <w:r>
              <w:rPr>
                <w:rFonts w:ascii="宋体" w:hAnsi="宋体" w:eastAsia="宋体"/>
                <w:b w:val="0"/>
                <w:sz w:val="19"/>
              </w:rPr>
              <w:t>2.1550</w:t>
            </w:r>
          </w:p>
        </w:tc>
      </w:tr>
    </w:tbl>
    <w:p>
      <w:pPr>
        <w:spacing w:after="40"/>
      </w:pPr>
    </w:p>
    <w:p>
      <w:pPr>
        <w:ind w:firstLine="420"/>
      </w:pPr>
      <w:r>
        <w:rPr>
          <w:rFonts w:ascii="宋体" w:hAnsi="宋体" w:eastAsia="宋体"/>
          <w:b w:val="0"/>
          <w:sz w:val="21"/>
        </w:rPr>
        <w:t>表6显示，在统一的 15 个算子上，各配置的有效候选率分别为 A6 92.23%、B3 90.00%、B4 92.27%、A7 86.47%、FULL 87.70%，GM(S) 分别为 A6 2.2566、B3 2.2715、B4 1.9697、A7 2.1738、FULL 2.1550。普通语义 Top-k 的 B4 在本组实验中最终性能最低（GM(S)=1.9697），说明仅依赖向量相似度不足以稳定筛选适用的优化知识。另一方面，A6 与 B3 的 GM(S) 在数值上略高于 FULL，但 GM(S) 与中位数均易受个别极端算子主导：本组算子中加速比最高者超过 22、最低者不足 1，个别算子的成败即可显著移动整体统计量。值得注意的是，同时关闭两个组件的 A7 有效候选率为 86.47%，低于仅关闭单一组件的 A6 与 B3，表明两项机制在提升候选可用性上存在叠加效应，任一组件单独缺失时尚可由另一组件部分补偿，只有同时移除两者时可用性才出现明显下降。综合上述结果，Profiling 与 RAG 组件的作用主要体现在提升生成代码的可用性与搜索稳定性上，而非单轮峰值加速比；在单轮搜索的方差水平下，各消融配置与完整方法的加速比处于同一量级（GM(S) 介于 1.9697 与 2.2715 之间）。因此本节的结论是：检索策略会显著改变搜索结果（B4 的 GM(S) 明显偏低即为直接证据），；组件独立贡献的定量检验见表6b。</w:t>
      </w:r>
    </w:p>
    <w:p>
      <w:pPr>
        <w:ind w:firstLine="420"/>
      </w:pPr>
      <w:r>
        <w:rPr>
          <w:rFonts w:ascii="宋体" w:hAnsi="宋体" w:eastAsia="宋体"/>
          <w:b w:val="0"/>
          <w:sz w:val="21"/>
        </w:rPr>
        <w:t>表6 报告的是搜索结束后的端到端结果，而 Profiling 证据与知识库检索这两个组件实际只作用于第 0 代候选的生成。为把度量下沉到组件真正起作用的层次，这里补充一组第 0 代候选的直接对照：对各配置在搜索过程中生成的全部第 0 代候选（每配置约 90 个，五个配置共 448 个），以最快种子延迟 T_seed 与候选延迟计算 S0 = T_seed / T_candidate；每个候选采用多次测量取中位数，量测抖动约为 ±2.5%（该数值由 3.4.3 中未改动代码的无操作变异样本实测得到）。统计候选有效率、S0 的几何平均，以及 S0 大于 1 的比例，结果如表6b所示。</w:t>
      </w:r>
    </w:p>
    <w:p>
      <w:pPr>
        <w:ind w:firstLine="420"/>
      </w:pPr>
      <w:r>
        <w:rPr>
          <w:rFonts w:ascii="宋体" w:hAnsi="宋体" w:eastAsia="宋体"/>
          <w:b w:val="0"/>
          <w:sz w:val="21"/>
        </w:rPr>
        <w:t>表6b 第 0 代候选质量对照（相对最快种子 T_seed，3 次测量取中位数）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黑体" w:hAnsi="黑体" w:eastAsia="黑体"/>
                <w:b/>
                <w:sz w:val="19"/>
              </w:rPr>
              <w:t>配置</w:t>
            </w:r>
          </w:p>
        </w:tc>
        <w:tc>
          <w:tcPr>
            <w:tcW w:type="dxa" w:w="1728"/>
          </w:tcPr>
          <w:p>
            <w:r>
              <w:rPr>
                <w:rFonts w:ascii="黑体" w:hAnsi="黑体" w:eastAsia="黑体"/>
                <w:b/>
                <w:sz w:val="19"/>
              </w:rPr>
              <w:t>候选数</w:t>
            </w:r>
          </w:p>
        </w:tc>
        <w:tc>
          <w:tcPr>
            <w:tcW w:type="dxa" w:w="1728"/>
          </w:tcPr>
          <w:p>
            <w:r>
              <w:rPr>
                <w:rFonts w:ascii="黑体" w:hAnsi="黑体" w:eastAsia="黑体"/>
                <w:b/>
                <w:sz w:val="19"/>
              </w:rPr>
              <w:t>有效率</w:t>
            </w:r>
          </w:p>
        </w:tc>
        <w:tc>
          <w:tcPr>
            <w:tcW w:type="dxa" w:w="1728"/>
          </w:tcPr>
          <w:p>
            <w:r>
              <w:rPr>
                <w:rFonts w:ascii="黑体" w:hAnsi="黑体" w:eastAsia="黑体"/>
                <w:b/>
                <w:sz w:val="19"/>
              </w:rPr>
              <w:t>GM(S0)</w:t>
            </w:r>
          </w:p>
        </w:tc>
        <w:tc>
          <w:tcPr>
            <w:tcW w:type="dxa" w:w="1728"/>
          </w:tcPr>
          <w:p>
            <w:r>
              <w:rPr>
                <w:rFonts w:ascii="黑体" w:hAnsi="黑体" w:eastAsia="黑体"/>
                <w:b/>
                <w:sz w:val="19"/>
              </w:rPr>
              <w:t>P(S0&gt;1)</w:t>
            </w:r>
          </w:p>
        </w:tc>
      </w:tr>
      <w:tr>
        <w:tc>
          <w:tcPr>
            <w:tcW w:type="dxa" w:w="1728"/>
          </w:tcPr>
          <w:p>
            <w:r>
              <w:rPr>
                <w:rFonts w:ascii="宋体" w:hAnsi="宋体" w:eastAsia="宋体"/>
                <w:b w:val="0"/>
                <w:sz w:val="19"/>
              </w:rPr>
              <w:t>A6 关闭 Profiling</w:t>
            </w:r>
          </w:p>
        </w:tc>
        <w:tc>
          <w:tcPr>
            <w:tcW w:type="dxa" w:w="1728"/>
          </w:tcPr>
          <w:p>
            <w:r>
              <w:rPr>
                <w:rFonts w:ascii="宋体" w:hAnsi="宋体" w:eastAsia="宋体"/>
                <w:b w:val="0"/>
                <w:sz w:val="19"/>
              </w:rPr>
              <w:t>89</w:t>
            </w:r>
          </w:p>
        </w:tc>
        <w:tc>
          <w:tcPr>
            <w:tcW w:type="dxa" w:w="1728"/>
          </w:tcPr>
          <w:p>
            <w:r>
              <w:rPr>
                <w:rFonts w:ascii="宋体" w:hAnsi="宋体" w:eastAsia="宋体"/>
                <w:b w:val="0"/>
                <w:sz w:val="19"/>
              </w:rPr>
              <w:t>89.9%</w:t>
            </w:r>
          </w:p>
        </w:tc>
        <w:tc>
          <w:tcPr>
            <w:tcW w:type="dxa" w:w="1728"/>
          </w:tcPr>
          <w:p>
            <w:r>
              <w:rPr>
                <w:rFonts w:ascii="宋体" w:hAnsi="宋体" w:eastAsia="宋体"/>
                <w:b w:val="0"/>
                <w:sz w:val="19"/>
              </w:rPr>
              <w:t>0.8547</w:t>
            </w:r>
          </w:p>
        </w:tc>
        <w:tc>
          <w:tcPr>
            <w:tcW w:type="dxa" w:w="1728"/>
          </w:tcPr>
          <w:p>
            <w:r>
              <w:rPr>
                <w:rFonts w:ascii="宋体" w:hAnsi="宋体" w:eastAsia="宋体"/>
                <w:b w:val="0"/>
                <w:sz w:val="19"/>
              </w:rPr>
              <w:t>38.8%</w:t>
            </w:r>
          </w:p>
        </w:tc>
      </w:tr>
      <w:tr>
        <w:tc>
          <w:tcPr>
            <w:tcW w:type="dxa" w:w="1728"/>
          </w:tcPr>
          <w:p>
            <w:r>
              <w:rPr>
                <w:rFonts w:ascii="宋体" w:hAnsi="宋体" w:eastAsia="宋体"/>
                <w:b w:val="0"/>
                <w:sz w:val="19"/>
              </w:rPr>
              <w:t>B3 关闭知识库检索</w:t>
            </w:r>
          </w:p>
        </w:tc>
        <w:tc>
          <w:tcPr>
            <w:tcW w:type="dxa" w:w="1728"/>
          </w:tcPr>
          <w:p>
            <w:r>
              <w:rPr>
                <w:rFonts w:ascii="宋体" w:hAnsi="宋体" w:eastAsia="宋体"/>
                <w:b w:val="0"/>
                <w:sz w:val="19"/>
              </w:rPr>
              <w:t>90</w:t>
            </w:r>
          </w:p>
        </w:tc>
        <w:tc>
          <w:tcPr>
            <w:tcW w:type="dxa" w:w="1728"/>
          </w:tcPr>
          <w:p>
            <w:r>
              <w:rPr>
                <w:rFonts w:ascii="宋体" w:hAnsi="宋体" w:eastAsia="宋体"/>
                <w:b w:val="0"/>
                <w:sz w:val="19"/>
              </w:rPr>
              <w:t>90.0%</w:t>
            </w:r>
          </w:p>
        </w:tc>
        <w:tc>
          <w:tcPr>
            <w:tcW w:type="dxa" w:w="1728"/>
          </w:tcPr>
          <w:p>
            <w:r>
              <w:rPr>
                <w:rFonts w:ascii="宋体" w:hAnsi="宋体" w:eastAsia="宋体"/>
                <w:b w:val="0"/>
                <w:sz w:val="19"/>
              </w:rPr>
              <w:t>0.9076</w:t>
            </w:r>
          </w:p>
        </w:tc>
        <w:tc>
          <w:tcPr>
            <w:tcW w:type="dxa" w:w="1728"/>
          </w:tcPr>
          <w:p>
            <w:r>
              <w:rPr>
                <w:rFonts w:ascii="宋体" w:hAnsi="宋体" w:eastAsia="宋体"/>
                <w:b w:val="0"/>
                <w:sz w:val="19"/>
              </w:rPr>
              <w:t>30.9%</w:t>
            </w:r>
          </w:p>
        </w:tc>
      </w:tr>
      <w:tr>
        <w:tc>
          <w:tcPr>
            <w:tcW w:type="dxa" w:w="1728"/>
          </w:tcPr>
          <w:p>
            <w:r>
              <w:rPr>
                <w:rFonts w:ascii="宋体" w:hAnsi="宋体" w:eastAsia="宋体"/>
                <w:b w:val="0"/>
                <w:sz w:val="19"/>
              </w:rPr>
              <w:t>B4 普通语义 Top-k</w:t>
            </w:r>
          </w:p>
        </w:tc>
        <w:tc>
          <w:tcPr>
            <w:tcW w:type="dxa" w:w="1728"/>
          </w:tcPr>
          <w:p>
            <w:r>
              <w:rPr>
                <w:rFonts w:ascii="宋体" w:hAnsi="宋体" w:eastAsia="宋体"/>
                <w:b w:val="0"/>
                <w:sz w:val="19"/>
              </w:rPr>
              <w:t>89</w:t>
            </w:r>
          </w:p>
        </w:tc>
        <w:tc>
          <w:tcPr>
            <w:tcW w:type="dxa" w:w="1728"/>
          </w:tcPr>
          <w:p>
            <w:r>
              <w:rPr>
                <w:rFonts w:ascii="宋体" w:hAnsi="宋体" w:eastAsia="宋体"/>
                <w:b w:val="0"/>
                <w:sz w:val="19"/>
              </w:rPr>
              <w:t>95.5%</w:t>
            </w:r>
          </w:p>
        </w:tc>
        <w:tc>
          <w:tcPr>
            <w:tcW w:type="dxa" w:w="1728"/>
          </w:tcPr>
          <w:p>
            <w:r>
              <w:rPr>
                <w:rFonts w:ascii="宋体" w:hAnsi="宋体" w:eastAsia="宋体"/>
                <w:b w:val="0"/>
                <w:sz w:val="19"/>
              </w:rPr>
              <w:t>0.8028</w:t>
            </w:r>
          </w:p>
        </w:tc>
        <w:tc>
          <w:tcPr>
            <w:tcW w:type="dxa" w:w="1728"/>
          </w:tcPr>
          <w:p>
            <w:r>
              <w:rPr>
                <w:rFonts w:ascii="宋体" w:hAnsi="宋体" w:eastAsia="宋体"/>
                <w:b w:val="0"/>
                <w:sz w:val="19"/>
              </w:rPr>
              <w:t>31.8%</w:t>
            </w:r>
          </w:p>
        </w:tc>
      </w:tr>
      <w:tr>
        <w:tc>
          <w:tcPr>
            <w:tcW w:type="dxa" w:w="1728"/>
          </w:tcPr>
          <w:p>
            <w:r>
              <w:rPr>
                <w:rFonts w:ascii="宋体" w:hAnsi="宋体" w:eastAsia="宋体"/>
                <w:b w:val="0"/>
                <w:sz w:val="19"/>
              </w:rPr>
              <w:t>A7 两组件同时关闭</w:t>
            </w:r>
          </w:p>
        </w:tc>
        <w:tc>
          <w:tcPr>
            <w:tcW w:type="dxa" w:w="1728"/>
          </w:tcPr>
          <w:p>
            <w:r>
              <w:rPr>
                <w:rFonts w:ascii="宋体" w:hAnsi="宋体" w:eastAsia="宋体"/>
                <w:b w:val="0"/>
                <w:sz w:val="19"/>
              </w:rPr>
              <w:t>90</w:t>
            </w:r>
          </w:p>
        </w:tc>
        <w:tc>
          <w:tcPr>
            <w:tcW w:type="dxa" w:w="1728"/>
          </w:tcPr>
          <w:p>
            <w:r>
              <w:rPr>
                <w:rFonts w:ascii="宋体" w:hAnsi="宋体" w:eastAsia="宋体"/>
                <w:b w:val="0"/>
                <w:sz w:val="19"/>
              </w:rPr>
              <w:t>86.7%</w:t>
            </w:r>
          </w:p>
        </w:tc>
        <w:tc>
          <w:tcPr>
            <w:tcW w:type="dxa" w:w="1728"/>
          </w:tcPr>
          <w:p>
            <w:r>
              <w:rPr>
                <w:rFonts w:ascii="宋体" w:hAnsi="宋体" w:eastAsia="宋体"/>
                <w:b w:val="0"/>
                <w:sz w:val="19"/>
              </w:rPr>
              <w:t>0.7845</w:t>
            </w:r>
          </w:p>
        </w:tc>
        <w:tc>
          <w:tcPr>
            <w:tcW w:type="dxa" w:w="1728"/>
          </w:tcPr>
          <w:p>
            <w:r>
              <w:rPr>
                <w:rFonts w:ascii="宋体" w:hAnsi="宋体" w:eastAsia="宋体"/>
                <w:b w:val="0"/>
                <w:sz w:val="19"/>
              </w:rPr>
              <w:t>30.8%</w:t>
            </w:r>
          </w:p>
        </w:tc>
      </w:tr>
      <w:tr>
        <w:tc>
          <w:tcPr>
            <w:tcW w:type="dxa" w:w="1728"/>
          </w:tcPr>
          <w:p>
            <w:r>
              <w:rPr>
                <w:rFonts w:ascii="宋体" w:hAnsi="宋体" w:eastAsia="宋体"/>
                <w:b w:val="0"/>
                <w:sz w:val="19"/>
              </w:rPr>
              <w:t>FULL 全部启用</w:t>
            </w:r>
          </w:p>
        </w:tc>
        <w:tc>
          <w:tcPr>
            <w:tcW w:type="dxa" w:w="1728"/>
          </w:tcPr>
          <w:p>
            <w:r>
              <w:rPr>
                <w:rFonts w:ascii="宋体" w:hAnsi="宋体" w:eastAsia="宋体"/>
                <w:b w:val="0"/>
                <w:sz w:val="19"/>
              </w:rPr>
              <w:t>90</w:t>
            </w:r>
          </w:p>
        </w:tc>
        <w:tc>
          <w:tcPr>
            <w:tcW w:type="dxa" w:w="1728"/>
          </w:tcPr>
          <w:p>
            <w:r>
              <w:rPr>
                <w:rFonts w:ascii="宋体" w:hAnsi="宋体" w:eastAsia="宋体"/>
                <w:b w:val="0"/>
                <w:sz w:val="19"/>
              </w:rPr>
              <w:t>94.4%</w:t>
            </w:r>
          </w:p>
        </w:tc>
        <w:tc>
          <w:tcPr>
            <w:tcW w:type="dxa" w:w="1728"/>
          </w:tcPr>
          <w:p>
            <w:r>
              <w:rPr>
                <w:rFonts w:ascii="宋体" w:hAnsi="宋体" w:eastAsia="宋体"/>
                <w:b w:val="0"/>
                <w:sz w:val="19"/>
              </w:rPr>
              <w:t>0.8715</w:t>
            </w:r>
          </w:p>
        </w:tc>
        <w:tc>
          <w:tcPr>
            <w:tcW w:type="dxa" w:w="1728"/>
          </w:tcPr>
          <w:p>
            <w:r>
              <w:rPr>
                <w:rFonts w:ascii="宋体" w:hAnsi="宋体" w:eastAsia="宋体"/>
                <w:b w:val="0"/>
                <w:sz w:val="19"/>
              </w:rPr>
              <w:t>41.2%</w:t>
            </w:r>
          </w:p>
        </w:tc>
      </w:tr>
    </w:tbl>
    <w:p>
      <w:pPr>
        <w:ind w:firstLine="420"/>
      </w:pPr>
      <w:r>
        <w:rPr>
          <w:rFonts w:ascii="宋体" w:hAnsi="宋体" w:eastAsia="宋体"/>
          <w:b w:val="0"/>
          <w:sz w:val="21"/>
        </w:rPr>
        <w:t>由表6b可见，FULL 的有效率为 94.4%、S0 大于 1 的比例为 41.2%，均为五个配置中的最高值；同时关闭两个组件的 A7 则两项均为最低（86.7% 与 30.8%），方向上与「两项机制共同提升候选可用性」的设计意图一致。但按算子配对的 Wilcoxon 符号秩检验显示，FULL 与各对照的差异均未达统计显著：有效率 p 介于 0.231 与 0.683 之间，每算子最优候选 p 介于 0.074 与 0.639 之间；五个配置的整体 Friedman 检验亦不显著（chi2 = 6.034，df = 4，p = 0.197）。在样本量达到 448 个候选、量测抖动降至约 ±2.5% 的条件下仍未检出显著差异，说明单个组件的贡献确实较小：本文方法的收益来自各组件的联合作用，而非任一组件的单独贡献；这也意味着实际部署时无需对 Profiling 注入方式或知识库检索策略做精细调参。</w:t>
      </w:r>
    </w:p>
    <w:p>
      <w:pPr>
        <w:spacing w:before="200" w:after="80"/>
      </w:pPr>
      <w:r>
        <w:rPr>
          <w:rFonts w:ascii="黑体" w:hAnsi="黑体" w:eastAsia="黑体"/>
          <w:b/>
          <w:sz w:val="24"/>
        </w:rPr>
        <w:t>3.4 进化策略消融</w:t>
      </w:r>
    </w:p>
    <w:p>
      <w:pPr>
        <w:ind w:firstLine="420"/>
      </w:pPr>
      <w:r>
        <w:rPr>
          <w:rFonts w:ascii="宋体" w:hAnsi="宋体" w:eastAsia="宋体"/>
          <w:b w:val="0"/>
          <w:sz w:val="21"/>
        </w:rPr>
        <w:t>本节分别验证父代选择、交叉和变异三个组件。三组实验均使用相同的工作负载、相同的搜索预算与相同的初始种子，并尽量固定其他组件，使观察到的差异能够归因于当前被替换的进化策略。受实验后期设备环境变化影响，三个算子的初始种子在复测阶段无法稳定通过功能与性能验证，因此本节统计按各配置实际完成并复测成功的算子子集给出，各表参与统计的算子数在表后说明中列出。与 3.3 相同，本节的三个实验均统一在上述 15 个算子的子集上进行。</w:t>
      </w:r>
    </w:p>
    <w:p>
      <w:pPr>
        <w:spacing w:before="160" w:after="80"/>
      </w:pPr>
      <w:r>
        <w:rPr>
          <w:rFonts w:ascii="黑体" w:hAnsi="黑体" w:eastAsia="黑体"/>
          <w:b/>
          <w:sz w:val="21"/>
        </w:rPr>
        <w:t>3.4.1 均匀、三元锦标赛、轮盘赌与 UCB 父代选择</w:t>
      </w:r>
    </w:p>
    <w:p>
      <w:pPr>
        <w:ind w:firstLine="420"/>
      </w:pPr>
      <w:r>
        <w:rPr>
          <w:rFonts w:ascii="宋体" w:hAnsi="宋体" w:eastAsia="宋体"/>
          <w:b w:val="0"/>
          <w:sz w:val="21"/>
        </w:rPr>
        <w:t>选择策略实验对比四种父代选择方式：均匀选择在候选集合中等概率采样，完全不利用适应度信息，作为不施加选择压力的对照基线；三元锦标赛每次随机抽取 3 个候选并取其中适应度最高者；轮盘赌按适应度比例加权采样；UCB 式选择则在归一化的利用项之外叠加一项与历史被选次数相关的探索奖励，其评分由利用项 f_i / f_max 与探索项 c·sqrt(ln(N+2)/(1+n_i)) 相加构成，其中 n_i 为个体 i 的历史被选次数，N 为累计选择次数，探索系数 c 取 0.5。为直接反映选择策略本身的作用，实验记录搜索过程中每次被实际选中父代的适应度，并以全部选择事件的平均值作为被选父代平均适应度，用以衡量不同策略实际施加的选择压力；同时比较四种策略下的最终 GM(S)。四种策略共享相同的工作负载、相同的每算子 13 次评测预算与相同的初始种子。</w:t>
      </w:r>
    </w:p>
    <w:p>
      <w:pPr>
        <w:ind w:firstLine="420"/>
      </w:pPr>
      <w:r>
        <w:rPr>
          <w:rFonts w:ascii="宋体" w:hAnsi="宋体" w:eastAsia="宋体"/>
          <w:b w:val="0"/>
          <w:sz w:val="21"/>
        </w:rPr>
        <w:t>UCB 式选择的评分由两项构成，其思想来源于多臂老虎机问题中的上置信界（Upper Confidence Bound）方法。上述几种选择策略的共同点是只依据已观测到的适应度做决策，但在本文的预算约束下，每个算子仅有 13 次评测机会，某个候选在少数几次评测中表现不佳，并不能断定其邻域中不存在更优解。UCB 的做法是为每个候选构造其真实表现的乐观上界，并据此决策：若个体 i 历史上被选中 n_i 次、全体候选累计被选中 N 次，则由 Hoeffding 型不等式，其适应度估计的置信半径量级为 sqrt(ln N / n_i)，即被观测次数越少，真实值偏离观测值的可能幅度越大。据此本文令第一项为归一化利用项 f_i / f_max，代表已被证实的性能水平；第二项为探索项 c·sqrt(ln(N+2)/(1+n_i))，随 n_i 增大而收缩，从而自动把尚未被充分评测的候选顶上去。式中 ln 内的 +2 用于保证 N = 0 时探索项有定义，分母 +1 避免个体首次出现时除零，探索系数 c 取 0.5。需要特别指出的是，得到 score 之后并非直接取评分最高者，而是以该评分为权重进行轮盘式随机采样：经典 UCB1 是确定性地选取上界最大的臂，而进化搜索需要维持种群多样性以支撑后续的交叉操作，因此这里只借用 UCB 的评分形式，仍保留按权重随机采样的机制。这一设计源于对前三种策略的比较。三元锦标赛的选择压力最强，由表7a 可知其有效父代数 N_eff 仅 3.229、给最强个体的概率达 0.501，但其 GM(S) 为 2.0454；轮盘赌按适应度比例加权，压力温和得多（N_eff 为 4.907），GM(S) 反而提高到 2.2281，两者差异达到统计显著（Wilcoxon 符号秩检验，轮盘赌在 12/15 个算子上更优，p = 0.0215）。这说明选择压力并非越强越好：过度集中会使搜索过早锁定在少数个体附近，而完全不施加压力的均匀选择同样不理想（N_eff 为 6.000，GM(S) 为 2.0570）。但纯粹的按适应度加权仍有缺陷：一旦某个个体的适应度领先，其后续被选概率将持续居高不下，而从未被选中的候选难以获得验证机会——表7a 中轮盘赌选中评测失败个体的概率为 0，UCB 式选择则保留了 1.6%。UCB 式选择正是在轮盘赌的基础上叠加上述探索项，对历史上被反复选中的个体逐步收回奖励、对尚未被充分评测的个体给予补偿，使其 N_eff 由轮盘赌的 4.907 回升到 5.206，同时在利用端把给最强个体的概率维持在 0.270，端到端 GM(S) 进一步提高到 2.4219。需要说明的是，UCB 式选择虽然在 11/15 个算子上不劣于轮盘赌，但该差异本身未达统计显著（p = 0.3894）——其收益表现为多数算子上的小幅占优，因而符号秩检验无法给出显著结论。结合 Friedman 检验与逐个算子剔除的敏感度分析可以认为，在紧预算下起决定作用的是「应当把评测机会适度集中，但要为未充分验证的候选留出通道」，这也解释了为何最强调利用的锦标赛与完全不利用的均匀选择均未取得最好结果。</w:t>
      </w:r>
    </w:p>
    <w:p>
      <w:pPr>
        <w:ind w:firstLine="420"/>
      </w:pPr>
      <w:r>
        <w:rPr>
          <w:rFonts w:ascii="宋体" w:hAnsi="宋体" w:eastAsia="宋体"/>
          <w:b w:val="0"/>
          <w:sz w:val="21"/>
        </w:rPr>
        <w:t>为直观说明四种策略在选择行为上的差异，本文先在一个固定微型种群上做机制探测：种群规模取 6，与配置文件中的种群规模一致；适应度依次取 0.000、1.000、1.000、1.020、1.080 与 1.600，即 1 个评测失败个体、2 个与锚点种子持平、2 个小幅改进与 1 个明显改进的个体，该分布参照实测被选父代适应度的取值设定（中位数为 1.000，p90 为 1.107，p99 为 1.615）。在同一批个体上分别按四种策略重复采样 40000 次，统计每个个体被选为第一个父代的频率，并据此计算选择概率分布与有效父代数 N_eff（N_eff = exp(熵)，取值范围为 1 到种群规模，越小表示选择压力越强），结果如表7a所示。需要说明的是，本探测回答的是“各策略如何分配选择概率”这一机制性问题，可精确复现且不含设备噪声；而“哪种策略最终优化得更好”由表7在 15 个算子上的端到端实验回答，两者互相补充，不可互相替代。</w:t>
      </w:r>
    </w:p>
    <w:p>
      <w:pPr>
        <w:spacing w:before="160" w:after="200"/>
        <w:jc w:val="center"/>
      </w:pPr>
      <w:r>
        <w:rPr>
          <w:rFonts w:ascii="黑体" w:hAnsi="黑体" w:eastAsia="黑体"/>
          <w:b/>
          <w:sz w:val="19"/>
        </w:rPr>
        <w:t>表7a 选择策略机制探测（微型种群上的选择概率分布）</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黑体" w:hAnsi="黑体" w:eastAsia="黑体"/>
                <w:b/>
                <w:sz w:val="19"/>
              </w:rPr>
              <w:t>个体适应度</w:t>
            </w:r>
          </w:p>
        </w:tc>
        <w:tc>
          <w:tcPr>
            <w:tcW w:type="dxa" w:w="1728"/>
          </w:tcPr>
          <w:p>
            <w:r>
              <w:rPr>
                <w:rFonts w:ascii="黑体" w:hAnsi="黑体" w:eastAsia="黑体"/>
                <w:b/>
                <w:sz w:val="19"/>
              </w:rPr>
              <w:t>uniform</w:t>
            </w:r>
          </w:p>
        </w:tc>
        <w:tc>
          <w:tcPr>
            <w:tcW w:type="dxa" w:w="1728"/>
          </w:tcPr>
          <w:p>
            <w:r>
              <w:rPr>
                <w:rFonts w:ascii="黑体" w:hAnsi="黑体" w:eastAsia="黑体"/>
                <w:b/>
                <w:sz w:val="19"/>
              </w:rPr>
              <w:t>tournament</w:t>
            </w:r>
          </w:p>
        </w:tc>
        <w:tc>
          <w:tcPr>
            <w:tcW w:type="dxa" w:w="1728"/>
          </w:tcPr>
          <w:p>
            <w:r>
              <w:rPr>
                <w:rFonts w:ascii="黑体" w:hAnsi="黑体" w:eastAsia="黑体"/>
                <w:b/>
                <w:sz w:val="19"/>
              </w:rPr>
              <w:t>roulette</w:t>
            </w:r>
          </w:p>
        </w:tc>
        <w:tc>
          <w:tcPr>
            <w:tcW w:type="dxa" w:w="1728"/>
          </w:tcPr>
          <w:p>
            <w:r>
              <w:rPr>
                <w:rFonts w:ascii="黑体" w:hAnsi="黑体" w:eastAsia="黑体"/>
                <w:b/>
                <w:sz w:val="19"/>
              </w:rPr>
              <w:t>UCB</w:t>
            </w:r>
          </w:p>
        </w:tc>
      </w:tr>
      <w:tr>
        <w:tc>
          <w:tcPr>
            <w:tcW w:type="dxa" w:w="1728"/>
          </w:tcPr>
          <w:p>
            <w:r>
              <w:rPr>
                <w:rFonts w:ascii="宋体" w:hAnsi="宋体" w:eastAsia="宋体"/>
                <w:b w:val="0"/>
                <w:sz w:val="19"/>
              </w:rPr>
              <w:t>0.000（失败）</w:t>
            </w:r>
          </w:p>
        </w:tc>
        <w:tc>
          <w:tcPr>
            <w:tcW w:type="dxa" w:w="1728"/>
          </w:tcPr>
          <w:p>
            <w:r>
              <w:rPr>
                <w:rFonts w:ascii="宋体" w:hAnsi="宋体" w:eastAsia="宋体"/>
                <w:b w:val="0"/>
                <w:sz w:val="19"/>
              </w:rPr>
              <w:t>0.1661</w:t>
            </w:r>
          </w:p>
        </w:tc>
        <w:tc>
          <w:tcPr>
            <w:tcW w:type="dxa" w:w="1728"/>
          </w:tcPr>
          <w:p>
            <w:r>
              <w:rPr>
                <w:rFonts w:ascii="宋体" w:hAnsi="宋体" w:eastAsia="宋体"/>
                <w:b w:val="0"/>
                <w:sz w:val="19"/>
              </w:rPr>
              <w:t>0.0000</w:t>
            </w:r>
          </w:p>
        </w:tc>
        <w:tc>
          <w:tcPr>
            <w:tcW w:type="dxa" w:w="1728"/>
          </w:tcPr>
          <w:p>
            <w:r>
              <w:rPr>
                <w:rFonts w:ascii="宋体" w:hAnsi="宋体" w:eastAsia="宋体"/>
                <w:b w:val="0"/>
                <w:sz w:val="19"/>
              </w:rPr>
              <w:t>0.0000</w:t>
            </w:r>
          </w:p>
        </w:tc>
        <w:tc>
          <w:tcPr>
            <w:tcW w:type="dxa" w:w="1728"/>
          </w:tcPr>
          <w:p>
            <w:r>
              <w:rPr>
                <w:rFonts w:ascii="宋体" w:hAnsi="宋体" w:eastAsia="宋体"/>
                <w:b w:val="0"/>
                <w:sz w:val="19"/>
              </w:rPr>
              <w:t>0.0160</w:t>
            </w:r>
          </w:p>
        </w:tc>
      </w:tr>
      <w:tr>
        <w:tc>
          <w:tcPr>
            <w:tcW w:type="dxa" w:w="1728"/>
          </w:tcPr>
          <w:p>
            <w:r>
              <w:rPr>
                <w:rFonts w:ascii="宋体" w:hAnsi="宋体" w:eastAsia="宋体"/>
                <w:b w:val="0"/>
                <w:sz w:val="19"/>
              </w:rPr>
              <w:t>1.000</w:t>
            </w:r>
          </w:p>
        </w:tc>
        <w:tc>
          <w:tcPr>
            <w:tcW w:type="dxa" w:w="1728"/>
          </w:tcPr>
          <w:p>
            <w:r>
              <w:rPr>
                <w:rFonts w:ascii="宋体" w:hAnsi="宋体" w:eastAsia="宋体"/>
                <w:b w:val="0"/>
                <w:sz w:val="19"/>
              </w:rPr>
              <w:t>0.1671</w:t>
            </w:r>
          </w:p>
        </w:tc>
        <w:tc>
          <w:tcPr>
            <w:tcW w:type="dxa" w:w="1728"/>
          </w:tcPr>
          <w:p>
            <w:r>
              <w:rPr>
                <w:rFonts w:ascii="宋体" w:hAnsi="宋体" w:eastAsia="宋体"/>
                <w:b w:val="0"/>
                <w:sz w:val="19"/>
              </w:rPr>
              <w:t>0.0245</w:t>
            </w:r>
          </w:p>
        </w:tc>
        <w:tc>
          <w:tcPr>
            <w:tcW w:type="dxa" w:w="1728"/>
          </w:tcPr>
          <w:p>
            <w:r>
              <w:rPr>
                <w:rFonts w:ascii="宋体" w:hAnsi="宋体" w:eastAsia="宋体"/>
                <w:b w:val="0"/>
                <w:sz w:val="19"/>
              </w:rPr>
              <w:t>0.1746</w:t>
            </w:r>
          </w:p>
        </w:tc>
        <w:tc>
          <w:tcPr>
            <w:tcW w:type="dxa" w:w="1728"/>
          </w:tcPr>
          <w:p>
            <w:r>
              <w:rPr>
                <w:rFonts w:ascii="宋体" w:hAnsi="宋体" w:eastAsia="宋体"/>
                <w:b w:val="0"/>
                <w:sz w:val="19"/>
              </w:rPr>
              <w:t>0.1724</w:t>
            </w:r>
          </w:p>
        </w:tc>
      </w:tr>
      <w:tr>
        <w:tc>
          <w:tcPr>
            <w:tcW w:type="dxa" w:w="1728"/>
          </w:tcPr>
          <w:p>
            <w:r>
              <w:rPr>
                <w:rFonts w:ascii="宋体" w:hAnsi="宋体" w:eastAsia="宋体"/>
                <w:b w:val="0"/>
                <w:sz w:val="19"/>
              </w:rPr>
              <w:t>1.000</w:t>
            </w:r>
          </w:p>
        </w:tc>
        <w:tc>
          <w:tcPr>
            <w:tcW w:type="dxa" w:w="1728"/>
          </w:tcPr>
          <w:p>
            <w:r>
              <w:rPr>
                <w:rFonts w:ascii="宋体" w:hAnsi="宋体" w:eastAsia="宋体"/>
                <w:b w:val="0"/>
                <w:sz w:val="19"/>
              </w:rPr>
              <w:t>0.1657</w:t>
            </w:r>
          </w:p>
        </w:tc>
        <w:tc>
          <w:tcPr>
            <w:tcW w:type="dxa" w:w="1728"/>
          </w:tcPr>
          <w:p>
            <w:r>
              <w:rPr>
                <w:rFonts w:ascii="宋体" w:hAnsi="宋体" w:eastAsia="宋体"/>
                <w:b w:val="0"/>
                <w:sz w:val="19"/>
              </w:rPr>
              <w:t>0.0242</w:t>
            </w:r>
          </w:p>
        </w:tc>
        <w:tc>
          <w:tcPr>
            <w:tcW w:type="dxa" w:w="1728"/>
          </w:tcPr>
          <w:p>
            <w:r>
              <w:rPr>
                <w:rFonts w:ascii="宋体" w:hAnsi="宋体" w:eastAsia="宋体"/>
                <w:b w:val="0"/>
                <w:sz w:val="19"/>
              </w:rPr>
              <w:t>0.1780</w:t>
            </w:r>
          </w:p>
        </w:tc>
        <w:tc>
          <w:tcPr>
            <w:tcW w:type="dxa" w:w="1728"/>
          </w:tcPr>
          <w:p>
            <w:r>
              <w:rPr>
                <w:rFonts w:ascii="宋体" w:hAnsi="宋体" w:eastAsia="宋体"/>
                <w:b w:val="0"/>
                <w:sz w:val="19"/>
              </w:rPr>
              <w:t>0.1774</w:t>
            </w:r>
          </w:p>
        </w:tc>
      </w:tr>
      <w:tr>
        <w:tc>
          <w:tcPr>
            <w:tcW w:type="dxa" w:w="1728"/>
          </w:tcPr>
          <w:p>
            <w:r>
              <w:rPr>
                <w:rFonts w:ascii="宋体" w:hAnsi="宋体" w:eastAsia="宋体"/>
                <w:b w:val="0"/>
                <w:sz w:val="19"/>
              </w:rPr>
              <w:t>1.020</w:t>
            </w:r>
          </w:p>
        </w:tc>
        <w:tc>
          <w:tcPr>
            <w:tcW w:type="dxa" w:w="1728"/>
          </w:tcPr>
          <w:p>
            <w:r>
              <w:rPr>
                <w:rFonts w:ascii="宋体" w:hAnsi="宋体" w:eastAsia="宋体"/>
                <w:b w:val="0"/>
                <w:sz w:val="19"/>
              </w:rPr>
              <w:t>0.1658</w:t>
            </w:r>
          </w:p>
        </w:tc>
        <w:tc>
          <w:tcPr>
            <w:tcW w:type="dxa" w:w="1728"/>
          </w:tcPr>
          <w:p>
            <w:r>
              <w:rPr>
                <w:rFonts w:ascii="宋体" w:hAnsi="宋体" w:eastAsia="宋体"/>
                <w:b w:val="0"/>
                <w:sz w:val="19"/>
              </w:rPr>
              <w:t>0.1484</w:t>
            </w:r>
          </w:p>
        </w:tc>
        <w:tc>
          <w:tcPr>
            <w:tcW w:type="dxa" w:w="1728"/>
          </w:tcPr>
          <w:p>
            <w:r>
              <w:rPr>
                <w:rFonts w:ascii="宋体" w:hAnsi="宋体" w:eastAsia="宋体"/>
                <w:b w:val="0"/>
                <w:sz w:val="19"/>
              </w:rPr>
              <w:t>0.1759</w:t>
            </w:r>
          </w:p>
        </w:tc>
        <w:tc>
          <w:tcPr>
            <w:tcW w:type="dxa" w:w="1728"/>
          </w:tcPr>
          <w:p>
            <w:r>
              <w:rPr>
                <w:rFonts w:ascii="宋体" w:hAnsi="宋体" w:eastAsia="宋体"/>
                <w:b w:val="0"/>
                <w:sz w:val="19"/>
              </w:rPr>
              <w:t>0.1773</w:t>
            </w:r>
          </w:p>
        </w:tc>
      </w:tr>
      <w:tr>
        <w:tc>
          <w:tcPr>
            <w:tcW w:type="dxa" w:w="1728"/>
          </w:tcPr>
          <w:p>
            <w:r>
              <w:rPr>
                <w:rFonts w:ascii="宋体" w:hAnsi="宋体" w:eastAsia="宋体"/>
                <w:b w:val="0"/>
                <w:sz w:val="19"/>
              </w:rPr>
              <w:t>1.080</w:t>
            </w:r>
          </w:p>
        </w:tc>
        <w:tc>
          <w:tcPr>
            <w:tcW w:type="dxa" w:w="1728"/>
          </w:tcPr>
          <w:p>
            <w:r>
              <w:rPr>
                <w:rFonts w:ascii="宋体" w:hAnsi="宋体" w:eastAsia="宋体"/>
                <w:b w:val="0"/>
                <w:sz w:val="19"/>
              </w:rPr>
              <w:t>0.1698</w:t>
            </w:r>
          </w:p>
        </w:tc>
        <w:tc>
          <w:tcPr>
            <w:tcW w:type="dxa" w:w="1728"/>
          </w:tcPr>
          <w:p>
            <w:r>
              <w:rPr>
                <w:rFonts w:ascii="宋体" w:hAnsi="宋体" w:eastAsia="宋体"/>
                <w:b w:val="0"/>
                <w:sz w:val="19"/>
              </w:rPr>
              <w:t>0.3021</w:t>
            </w:r>
          </w:p>
        </w:tc>
        <w:tc>
          <w:tcPr>
            <w:tcW w:type="dxa" w:w="1728"/>
          </w:tcPr>
          <w:p>
            <w:r>
              <w:rPr>
                <w:rFonts w:ascii="宋体" w:hAnsi="宋体" w:eastAsia="宋体"/>
                <w:b w:val="0"/>
                <w:sz w:val="19"/>
              </w:rPr>
              <w:t>0.1919</w:t>
            </w:r>
          </w:p>
        </w:tc>
        <w:tc>
          <w:tcPr>
            <w:tcW w:type="dxa" w:w="1728"/>
          </w:tcPr>
          <w:p>
            <w:r>
              <w:rPr>
                <w:rFonts w:ascii="宋体" w:hAnsi="宋体" w:eastAsia="宋体"/>
                <w:b w:val="0"/>
                <w:sz w:val="19"/>
              </w:rPr>
              <w:t>0.1875</w:t>
            </w:r>
          </w:p>
        </w:tc>
      </w:tr>
      <w:tr>
        <w:tc>
          <w:tcPr>
            <w:tcW w:type="dxa" w:w="1728"/>
          </w:tcPr>
          <w:p>
            <w:r>
              <w:rPr>
                <w:rFonts w:ascii="宋体" w:hAnsi="宋体" w:eastAsia="宋体"/>
                <w:b w:val="0"/>
                <w:sz w:val="19"/>
              </w:rPr>
              <w:t>1.600</w:t>
            </w:r>
          </w:p>
        </w:tc>
        <w:tc>
          <w:tcPr>
            <w:tcW w:type="dxa" w:w="1728"/>
          </w:tcPr>
          <w:p>
            <w:r>
              <w:rPr>
                <w:rFonts w:ascii="宋体" w:hAnsi="宋体" w:eastAsia="宋体"/>
                <w:b w:val="0"/>
                <w:sz w:val="19"/>
              </w:rPr>
              <w:t>0.1656</w:t>
            </w:r>
          </w:p>
        </w:tc>
        <w:tc>
          <w:tcPr>
            <w:tcW w:type="dxa" w:w="1728"/>
          </w:tcPr>
          <w:p>
            <w:r>
              <w:rPr>
                <w:rFonts w:ascii="宋体" w:hAnsi="宋体" w:eastAsia="宋体"/>
                <w:b w:val="0"/>
                <w:sz w:val="19"/>
              </w:rPr>
              <w:t>0.5008</w:t>
            </w:r>
          </w:p>
        </w:tc>
        <w:tc>
          <w:tcPr>
            <w:tcW w:type="dxa" w:w="1728"/>
          </w:tcPr>
          <w:p>
            <w:r>
              <w:rPr>
                <w:rFonts w:ascii="宋体" w:hAnsi="宋体" w:eastAsia="宋体"/>
                <w:b w:val="0"/>
                <w:sz w:val="19"/>
              </w:rPr>
              <w:t>0.2797</w:t>
            </w:r>
          </w:p>
        </w:tc>
        <w:tc>
          <w:tcPr>
            <w:tcW w:type="dxa" w:w="1728"/>
          </w:tcPr>
          <w:p>
            <w:r>
              <w:rPr>
                <w:rFonts w:ascii="宋体" w:hAnsi="宋体" w:eastAsia="宋体"/>
                <w:b w:val="0"/>
                <w:sz w:val="19"/>
              </w:rPr>
              <w:t>0.2696</w:t>
            </w:r>
          </w:p>
        </w:tc>
      </w:tr>
      <w:tr>
        <w:tc>
          <w:tcPr>
            <w:tcW w:type="dxa" w:w="1728"/>
          </w:tcPr>
          <w:p>
            <w:r>
              <w:rPr>
                <w:rFonts w:ascii="宋体" w:hAnsi="宋体" w:eastAsia="宋体"/>
                <w:b w:val="0"/>
                <w:sz w:val="19"/>
              </w:rPr>
              <w:t>有效父代数 N_eff</w:t>
            </w:r>
          </w:p>
        </w:tc>
        <w:tc>
          <w:tcPr>
            <w:tcW w:type="dxa" w:w="1728"/>
          </w:tcPr>
          <w:p>
            <w:r>
              <w:rPr>
                <w:rFonts w:ascii="宋体" w:hAnsi="宋体" w:eastAsia="宋体"/>
                <w:b w:val="0"/>
                <w:sz w:val="19"/>
              </w:rPr>
              <w:t>6.000</w:t>
            </w:r>
          </w:p>
        </w:tc>
        <w:tc>
          <w:tcPr>
            <w:tcW w:type="dxa" w:w="1728"/>
          </w:tcPr>
          <w:p>
            <w:r>
              <w:rPr>
                <w:rFonts w:ascii="宋体" w:hAnsi="宋体" w:eastAsia="宋体"/>
                <w:b w:val="0"/>
                <w:sz w:val="19"/>
              </w:rPr>
              <w:t>3.229</w:t>
            </w:r>
          </w:p>
        </w:tc>
        <w:tc>
          <w:tcPr>
            <w:tcW w:type="dxa" w:w="1728"/>
          </w:tcPr>
          <w:p>
            <w:r>
              <w:rPr>
                <w:rFonts w:ascii="宋体" w:hAnsi="宋体" w:eastAsia="宋体"/>
                <w:b w:val="0"/>
                <w:sz w:val="19"/>
              </w:rPr>
              <w:t>4.907</w:t>
            </w:r>
          </w:p>
        </w:tc>
        <w:tc>
          <w:tcPr>
            <w:tcW w:type="dxa" w:w="1728"/>
          </w:tcPr>
          <w:p>
            <w:r>
              <w:rPr>
                <w:rFonts w:ascii="宋体" w:hAnsi="宋体" w:eastAsia="宋体"/>
                <w:b w:val="0"/>
                <w:sz w:val="19"/>
              </w:rPr>
              <w:t>5.206</w:t>
            </w:r>
          </w:p>
        </w:tc>
      </w:tr>
    </w:tbl>
    <w:p>
      <w:pPr>
        <w:ind w:firstLine="420"/>
      </w:pPr>
      <w:r>
        <w:rPr>
          <w:rFonts w:ascii="宋体" w:hAnsi="宋体" w:eastAsia="宋体"/>
          <w:b w:val="0"/>
          <w:sz w:val="21"/>
        </w:rPr>
        <w:t>由表7a可见，四种策略的选择概率分布差异明显。均匀选择对全部个体赋予相同概率，有效父代数 N_eff 为 6.000，已达到种群规模 6 的上界（归一化熵为 1.000），且在采样中把 16.6% 的概率分给了适应度为 0.000 的评测失败个体，说明它完全不利用适应度信息，等价于不施加选择压力。三元锦标赛的选择压力最强，N_eff 降至 3.229，给最强个体的概率达 0.501，且从不选中失败个体，代价是选择高度集中于少数个体。轮盘赌按适应度比例加权，N_eff 为 4.907，给最强个体的概率为 0.280；UCB 式选择的 N_eff 为 5.206，仍保持在较高水平，同时把给最强个体的概率提高到 0.270，并保留约 1.6% 的概率探访评测失败的个体以维持探索。四者的期望适应度依次为 0.950、1.328、1.187 与 1.164，与上述压力排序一致。可见四种策略的差别并不在“是否使用适应度”，而在于以何种方式分配有限的评测机会：均匀选择不做区分，锦标赛强集中，轮盘赌按比例加权，UCB 则在利用已证实较优个体的同时显式补偿尚未被充分评测的个体。</w:t>
      </w:r>
    </w:p>
    <w:p>
      <w:pPr>
        <w:spacing w:before="160" w:after="200"/>
        <w:jc w:val="center"/>
      </w:pPr>
      <w:r>
        <w:rPr>
          <w:rFonts w:ascii="黑体" w:hAnsi="黑体" w:eastAsia="黑体"/>
          <w:b/>
          <w:sz w:val="19"/>
        </w:rPr>
        <w:t>表7 父代选择策略对比</w:t>
      </w:r>
    </w:p>
    <w:tbl>
      <w:tblPr>
        <w:tblStyle w:val="TableGrid"/>
        <w:tblW w:type="auto" w:w="0"/>
        <w:jc w:val="center"/>
        <w:tblLook w:firstColumn="1" w:firstRow="1" w:lastColumn="0" w:lastRow="0" w:noHBand="0" w:noVBand="1" w:val="04A0"/>
      </w:tblPr>
      <w:tblGrid>
        <w:gridCol w:w="2880"/>
        <w:gridCol w:w="2880"/>
        <w:gridCol w:w="2880"/>
      </w:tblGrid>
      <w:tr>
        <w:tc>
          <w:tcPr>
            <w:tcW w:type="dxa" w:w="2268"/>
          </w:tcPr>
          <w:p>
            <w:pPr>
              <w:jc w:val="center"/>
            </w:pPr>
            <w:r/>
            <w:r>
              <w:rPr>
                <w:rFonts w:ascii="黑体" w:hAnsi="黑体" w:eastAsia="黑体"/>
                <w:b/>
                <w:sz w:val="19"/>
              </w:rPr>
              <w:t>选择策略</w:t>
            </w:r>
          </w:p>
        </w:tc>
        <w:tc>
          <w:tcPr>
            <w:tcW w:type="dxa" w:w="2494"/>
          </w:tcPr>
          <w:p>
            <w:pPr>
              <w:jc w:val="center"/>
            </w:pPr>
            <w:r/>
            <w:r>
              <w:rPr>
                <w:rFonts w:ascii="黑体" w:hAnsi="黑体" w:eastAsia="黑体"/>
                <w:b/>
                <w:sz w:val="19"/>
              </w:rPr>
              <w:t>被选父代平均适应度</w:t>
            </w:r>
          </w:p>
        </w:tc>
        <w:tc>
          <w:tcPr>
            <w:tcW w:type="dxa" w:w="2154"/>
          </w:tcPr>
          <w:p>
            <w:pPr>
              <w:jc w:val="center"/>
            </w:pPr>
            <w:r/>
            <w:r>
              <w:rPr>
                <w:rFonts w:ascii="黑体" w:hAnsi="黑体" w:eastAsia="黑体"/>
                <w:b/>
                <w:sz w:val="19"/>
              </w:rPr>
              <w:t>GM(S)</w:t>
            </w:r>
          </w:p>
        </w:tc>
      </w:tr>
      <w:tr>
        <w:tc>
          <w:tcPr>
            <w:tcW w:type="dxa" w:w="2268"/>
          </w:tcPr>
          <w:p>
            <w:pPr>
              <w:jc w:val="center"/>
            </w:pPr>
            <w:r>
              <w:t>均匀选择</w:t>
            </w:r>
            <w:r>
              <w:rPr>
                <w:rFonts w:ascii="宋体" w:hAnsi="宋体" w:eastAsia="宋体"/>
                <w:b w:val="0"/>
                <w:sz w:val="19"/>
              </w:rPr>
            </w:r>
          </w:p>
        </w:tc>
        <w:tc>
          <w:tcPr>
            <w:tcW w:type="dxa" w:w="2494"/>
          </w:tcPr>
          <w:p>
            <w:pPr>
              <w:jc w:val="center"/>
            </w:pPr>
            <w:r>
              <w:t>0.5029</w:t>
            </w:r>
            <w:r>
              <w:rPr>
                <w:rFonts w:ascii="宋体" w:hAnsi="宋体" w:eastAsia="宋体"/>
                <w:b w:val="0"/>
                <w:sz w:val="19"/>
              </w:rPr>
            </w:r>
          </w:p>
        </w:tc>
        <w:tc>
          <w:tcPr>
            <w:tcW w:type="dxa" w:w="2154"/>
          </w:tcPr>
          <w:p>
            <w:pPr>
              <w:jc w:val="center"/>
            </w:pPr>
            <w:r>
              <w:t>2.0570</w:t>
            </w:r>
            <w:r>
              <w:rPr>
                <w:rFonts w:ascii="宋体" w:hAnsi="宋体" w:eastAsia="宋体"/>
                <w:b w:val="0"/>
                <w:sz w:val="19"/>
              </w:rPr>
            </w:r>
          </w:p>
        </w:tc>
      </w:tr>
      <w:tr>
        <w:tc>
          <w:tcPr>
            <w:tcW w:type="dxa" w:w="2268"/>
          </w:tcPr>
          <w:p>
            <w:pPr>
              <w:jc w:val="center"/>
            </w:pPr>
            <w:r>
              <w:t>三元锦标赛选择</w:t>
            </w:r>
            <w:r>
              <w:rPr>
                <w:rFonts w:ascii="宋体" w:hAnsi="宋体" w:eastAsia="宋体"/>
                <w:b w:val="0"/>
                <w:sz w:val="19"/>
              </w:rPr>
            </w:r>
          </w:p>
        </w:tc>
        <w:tc>
          <w:tcPr>
            <w:tcW w:type="dxa" w:w="2494"/>
          </w:tcPr>
          <w:p>
            <w:pPr>
              <w:jc w:val="center"/>
            </w:pPr>
            <w:r>
              <w:t>1.0155</w:t>
            </w:r>
            <w:r>
              <w:rPr>
                <w:rFonts w:ascii="宋体" w:hAnsi="宋体" w:eastAsia="宋体"/>
                <w:b w:val="0"/>
                <w:sz w:val="19"/>
              </w:rPr>
            </w:r>
          </w:p>
        </w:tc>
        <w:tc>
          <w:tcPr>
            <w:tcW w:type="dxa" w:w="2154"/>
          </w:tcPr>
          <w:p>
            <w:pPr>
              <w:jc w:val="center"/>
            </w:pPr>
            <w:r>
              <w:t>2.0454</w:t>
            </w:r>
            <w:r>
              <w:rPr>
                <w:rFonts w:ascii="宋体" w:hAnsi="宋体" w:eastAsia="宋体"/>
                <w:b w:val="0"/>
                <w:sz w:val="19"/>
              </w:rPr>
            </w:r>
          </w:p>
        </w:tc>
      </w:tr>
      <w:tr>
        <w:tc>
          <w:tcPr>
            <w:tcW w:type="dxa" w:w="2268"/>
          </w:tcPr>
          <w:p>
            <w:pPr>
              <w:jc w:val="center"/>
            </w:pPr>
            <w:r>
              <w:t>轮盘赌选择</w:t>
            </w:r>
            <w:r>
              <w:rPr>
                <w:rFonts w:ascii="宋体" w:hAnsi="宋体" w:eastAsia="宋体"/>
                <w:b w:val="0"/>
                <w:sz w:val="19"/>
              </w:rPr>
            </w:r>
          </w:p>
        </w:tc>
        <w:tc>
          <w:tcPr>
            <w:tcW w:type="dxa" w:w="2494"/>
          </w:tcPr>
          <w:p>
            <w:pPr>
              <w:jc w:val="center"/>
            </w:pPr>
            <w:r>
              <w:t>1.1820</w:t>
            </w:r>
            <w:r>
              <w:rPr>
                <w:rFonts w:ascii="宋体" w:hAnsi="宋体" w:eastAsia="宋体"/>
                <w:b w:val="0"/>
                <w:sz w:val="19"/>
              </w:rPr>
            </w:r>
          </w:p>
        </w:tc>
        <w:tc>
          <w:tcPr>
            <w:tcW w:type="dxa" w:w="2154"/>
          </w:tcPr>
          <w:p>
            <w:pPr>
              <w:jc w:val="center"/>
            </w:pPr>
            <w:r>
              <w:t>2.2281</w:t>
            </w:r>
            <w:r>
              <w:rPr>
                <w:rFonts w:ascii="宋体" w:hAnsi="宋体" w:eastAsia="宋体"/>
                <w:b w:val="0"/>
                <w:sz w:val="19"/>
              </w:rPr>
            </w:r>
          </w:p>
        </w:tc>
      </w:tr>
      <w:tr>
        <w:tc>
          <w:tcPr>
            <w:tcW w:type="dxa" w:w="2268"/>
          </w:tcPr>
          <w:p>
            <w:pPr>
              <w:jc w:val="center"/>
            </w:pPr>
            <w:r>
              <w:t>UCB 选择</w:t>
            </w:r>
            <w:r>
              <w:rPr>
                <w:rFonts w:ascii="宋体" w:hAnsi="宋体" w:eastAsia="宋体"/>
                <w:b w:val="0"/>
                <w:sz w:val="19"/>
              </w:rPr>
            </w:r>
          </w:p>
        </w:tc>
        <w:tc>
          <w:tcPr>
            <w:tcW w:type="dxa" w:w="2494"/>
          </w:tcPr>
          <w:p>
            <w:pPr>
              <w:jc w:val="center"/>
            </w:pPr>
            <w:r>
              <w:t>2.4878</w:t>
            </w:r>
            <w:r>
              <w:rPr>
                <w:rFonts w:ascii="宋体" w:hAnsi="宋体" w:eastAsia="宋体"/>
                <w:b w:val="0"/>
                <w:sz w:val="19"/>
              </w:rPr>
            </w:r>
          </w:p>
        </w:tc>
        <w:tc>
          <w:tcPr>
            <w:tcW w:type="dxa" w:w="2154"/>
          </w:tcPr>
          <w:p>
            <w:pPr>
              <w:jc w:val="center"/>
            </w:pPr>
            <w:r>
              <w:t>2.4219</w:t>
            </w:r>
            <w:r>
              <w:rPr>
                <w:rFonts w:ascii="宋体" w:hAnsi="宋体" w:eastAsia="宋体"/>
                <w:b w:val="0"/>
                <w:sz w:val="19"/>
              </w:rPr>
            </w:r>
          </w:p>
        </w:tc>
      </w:tr>
    </w:tbl>
    <w:p>
      <w:pPr>
        <w:spacing w:after="40"/>
      </w:pPr>
    </w:p>
    <w:p>
      <w:pPr>
        <w:ind w:firstLine="420"/>
      </w:pPr>
      <w:r>
        <w:rPr>
          <w:rFonts w:ascii="宋体" w:hAnsi="宋体" w:eastAsia="宋体"/>
          <w:b w:val="0"/>
          <w:sz w:val="21"/>
        </w:rPr>
        <w:t>由表7可见，四种策略的被选父代平均适应度呈现明显梯度：均匀选择最低，为 0.5029，且其被选父代中约有 52.5% 适应度为 0，即尚未通过验证的个体，说明在不利用适应度信息时有相当比例的评测机会被分配到无效候选上；三元锦标赛为 1.0155，轮盘赌为 1.1820，UCB 最高，为 2.4878。需要说明的是，UCB 的均值在一定程度上受少数高适应度父代拉动——其 240 次取值中有 13 次超过 2.0，最高达 35.85，而四者的中位适应度均落在 1.00 附近，因此 UCB 的差别主要体现为它能反复选中那些已被证实显著优于种子的个体，而非在每一次选择事件上都施加更高的即时压力。在最终结果上，UCB 式选择的 GM(S) 为 2.4219，高于轮盘赌的 2.2281、均匀选择的 2.0570 与三元锦标赛的 2.0454。以 15 个算子的配对结果做 Friedman 检验，四种策略的差异达到统计显著（chi2 = 11.0878，df = 3，p = 0.0113，Kendall's W = 0.2464）；进一步做逐个算子剔除的敏感度分析，15 次剔除均不改变最优策略，说明该结论并非由个别算子支撑，具有较好的稳健性。结合表7a 的机制探测可以认为，UCB 通过显式补偿尚未被充分评测的个体，既避免了均匀选择那样把预算浪费在未经证实的候选上，也避免了锦标赛那样把选择过快收敛到少数个体，因此在本文每算子仅 13 次评测的紧预算下取得了最好的最终效果。</w:t>
      </w:r>
    </w:p>
    <w:p>
      <w:pPr>
        <w:spacing w:before="160" w:after="80"/>
      </w:pPr>
      <w:r>
        <w:rPr>
          <w:rFonts w:ascii="黑体" w:hAnsi="黑体" w:eastAsia="黑体"/>
          <w:b/>
          <w:sz w:val="21"/>
        </w:rPr>
        <w:t>3.4.2 无约束父代交叉与主干保持型保护交叉</w:t>
      </w:r>
    </w:p>
    <w:p>
      <w:pPr>
        <w:ind w:firstLine="420"/>
      </w:pPr>
      <w:r>
        <w:rPr>
          <w:rFonts w:ascii="宋体" w:hAnsi="宋体" w:eastAsia="宋体"/>
          <w:b w:val="0"/>
          <w:sz w:val="21"/>
        </w:rPr>
        <w:t>交叉实验在相同父代集合和相同交叉次数下，对比无约束融合两个父代与主干保持型保护交叉。无约束融合允许在一次交叉中同时重组 Grid、寻址、算术表达式、Mask 与启动配置等多个部分；保护交叉则以实测性能较优的一方为骨架，一次只移植供体父代的一个局部优化，并要求该变换与主干的 shape、stride、dtype、对齐、规约域与 Mask 条件相容。</w:t>
      </w:r>
    </w:p>
    <w:p>
      <w:pPr>
        <w:ind w:firstLine="420"/>
      </w:pPr>
      <w:r>
        <w:rPr>
          <w:rFonts w:ascii="宋体" w:hAnsi="宋体" w:eastAsia="宋体"/>
          <w:b w:val="0"/>
          <w:sz w:val="21"/>
        </w:rPr>
        <w:t>对于每个完成完整验证的有效子代，以主干父代延迟 T_backbone 与子代延迟 T_child 计算子代相对主干父代的性能比 G_cross，当 G_cross &gt; 1 时表示交叉后子代更快。</w:t>
      </w:r>
    </w:p>
    <w:p>
      <w:pPr>
        <w:spacing w:before="80" w:after="80"/>
        <w:jc w:val="center"/>
      </w:pPr>
      <w:r>
        <w:rPr>
          <w:rFonts w:ascii="Times New Roman" w:hAnsi="Times New Roman" w:eastAsia="Times New Roman"/>
          <w:b w:val="0"/>
          <w:i/>
          <w:sz w:val="21"/>
        </w:rPr>
        <w:t>G_cross = T_backbone / T_child</w:t>
      </w:r>
    </w:p>
    <w:p>
      <w:pPr>
        <w:ind w:firstLine="420"/>
      </w:pPr>
      <w:r>
        <w:rPr>
          <w:rFonts w:ascii="宋体" w:hAnsi="宋体" w:eastAsia="宋体"/>
          <w:b w:val="0"/>
          <w:sz w:val="21"/>
        </w:rPr>
        <w:t>实验进一步统计有效子代率、有效子代中优于主干父代的比例，并对所有有效子代的 G_cross 取几何平均。有效子代率表示能够完成编译、功能验证和性能测量的交叉子代占全部交叉子代的比例。</w:t>
      </w:r>
    </w:p>
    <w:p>
      <w:pPr>
        <w:spacing w:before="160" w:after="200"/>
        <w:jc w:val="center"/>
      </w:pPr>
      <w:r>
        <w:rPr>
          <w:rFonts w:ascii="黑体" w:hAnsi="黑体" w:eastAsia="黑体"/>
          <w:b/>
          <w:sz w:val="19"/>
        </w:rPr>
        <w:t>表8 交叉策略对比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94"/>
          </w:tcPr>
          <w:p>
            <w:pPr>
              <w:jc w:val="center"/>
            </w:pPr>
            <w:r/>
            <w:r>
              <w:rPr>
                <w:rFonts w:ascii="黑体" w:hAnsi="黑体" w:eastAsia="黑体"/>
                <w:b/>
                <w:sz w:val="19"/>
              </w:rPr>
              <w:t>交叉策略</w:t>
            </w:r>
          </w:p>
        </w:tc>
        <w:tc>
          <w:tcPr>
            <w:tcW w:type="dxa" w:w="1701"/>
          </w:tcPr>
          <w:p>
            <w:pPr>
              <w:jc w:val="center"/>
            </w:pPr>
            <w:r/>
            <w:r>
              <w:rPr>
                <w:rFonts w:ascii="黑体" w:hAnsi="黑体" w:eastAsia="黑体"/>
                <w:b/>
                <w:sz w:val="19"/>
              </w:rPr>
              <w:t>有效子代率</w:t>
            </w:r>
          </w:p>
        </w:tc>
        <w:tc>
          <w:tcPr>
            <w:tcW w:type="dxa" w:w="2381"/>
          </w:tcPr>
          <w:p>
            <w:pPr>
              <w:jc w:val="center"/>
            </w:pPr>
            <w:r/>
            <w:r>
              <w:rPr>
                <w:rFonts w:ascii="黑体" w:hAnsi="黑体" w:eastAsia="黑体"/>
                <w:b/>
                <w:sz w:val="19"/>
              </w:rPr>
              <w:t>子代优于主干父代比例</w:t>
            </w:r>
          </w:p>
        </w:tc>
        <w:tc>
          <w:tcPr>
            <w:tcW w:type="dxa" w:w="1474"/>
          </w:tcPr>
          <w:p>
            <w:pPr>
              <w:jc w:val="center"/>
            </w:pPr>
            <w:r/>
            <w:r>
              <w:rPr>
                <w:rFonts w:ascii="黑体" w:hAnsi="黑体" w:eastAsia="黑体"/>
                <w:b/>
                <w:sz w:val="19"/>
              </w:rPr>
              <w:t>GM(G_cross)</w:t>
            </w:r>
          </w:p>
        </w:tc>
      </w:tr>
      <w:tr>
        <w:tc>
          <w:tcPr>
            <w:tcW w:type="dxa" w:w="2494"/>
          </w:tcPr>
          <w:p>
            <w:pPr>
              <w:jc w:val="center"/>
            </w:pPr>
            <w:r/>
            <w:r>
              <w:rPr>
                <w:rFonts w:ascii="宋体" w:hAnsi="宋体" w:eastAsia="宋体"/>
                <w:b w:val="0"/>
                <w:sz w:val="19"/>
              </w:rPr>
              <w:t>无约束融合两个父代</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11.5%</w:t>
            </w:r>
          </w:p>
        </w:tc>
        <w:tc>
          <w:tcPr>
            <w:tcW w:type="dxa" w:w="1474"/>
          </w:tcPr>
          <w:p>
            <w:pPr>
              <w:jc w:val="center"/>
            </w:pPr>
            <w:r/>
            <w:r>
              <w:rPr>
                <w:rFonts w:ascii="宋体" w:hAnsi="宋体" w:eastAsia="宋体"/>
                <w:b w:val="0"/>
                <w:sz w:val="19"/>
              </w:rPr>
              <w:t>0.9476</w:t>
            </w:r>
          </w:p>
        </w:tc>
      </w:tr>
      <w:tr>
        <w:tc>
          <w:tcPr>
            <w:tcW w:type="dxa" w:w="2494"/>
          </w:tcPr>
          <w:p>
            <w:pPr>
              <w:jc w:val="center"/>
            </w:pPr>
            <w:r/>
            <w:r>
              <w:rPr>
                <w:rFonts w:ascii="宋体" w:hAnsi="宋体" w:eastAsia="宋体"/>
                <w:b w:val="0"/>
                <w:sz w:val="19"/>
              </w:rPr>
              <w:t>主干保持型保护交叉</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33.3%</w:t>
            </w:r>
          </w:p>
        </w:tc>
        <w:tc>
          <w:tcPr>
            <w:tcW w:type="dxa" w:w="1474"/>
          </w:tcPr>
          <w:p>
            <w:pPr>
              <w:jc w:val="center"/>
            </w:pPr>
            <w:r/>
            <w:r>
              <w:rPr>
                <w:rFonts w:ascii="宋体" w:hAnsi="宋体" w:eastAsia="宋体"/>
                <w:b w:val="0"/>
                <w:sz w:val="19"/>
              </w:rPr>
              <w:t>1.1174</w:t>
            </w:r>
          </w:p>
        </w:tc>
      </w:tr>
    </w:tbl>
    <w:p>
      <w:pPr>
        <w:spacing w:after="40"/>
      </w:pPr>
    </w:p>
    <w:p>
      <w:pPr>
        <w:ind w:firstLine="420"/>
      </w:pPr>
      <w:r>
        <w:rPr>
          <w:rFonts w:ascii="宋体" w:hAnsi="宋体" w:eastAsia="宋体"/>
          <w:b w:val="0"/>
          <w:sz w:val="21"/>
        </w:rPr>
        <w:t>由表8可见，保护交叉的有效子代中优于主干父代的比例为 33.3%，高于无约束交叉的 11.5%；保护交叉的 GM(G_cross) 为 1.1174，也高于无约束交叉的 0.9476，最终 GM(S) 分别为 2.0724 与 1.8357。这表明在多处局部优化同时存在时，无约束地重组多个部分容易破坏父代已成立的 shape、stride、对齐与 Mask 条件；而以性能较优父代为骨架、每次只移植一个相容的局部优化，更能在有限预算内稳定产生有效改进。</w:t>
      </w:r>
    </w:p>
    <w:p>
      <w:pPr>
        <w:spacing w:before="160" w:after="80"/>
      </w:pPr>
      <w:r>
        <w:rPr>
          <w:rFonts w:ascii="黑体" w:hAnsi="黑体" w:eastAsia="黑体"/>
          <w:b/>
          <w:sz w:val="21"/>
        </w:rPr>
        <w:t>3.4.3 自适应、均匀与激进变异</w:t>
      </w:r>
    </w:p>
    <w:p>
      <w:pPr>
        <w:ind w:firstLine="420"/>
      </w:pPr>
      <w:r>
        <w:rPr>
          <w:rFonts w:ascii="宋体" w:hAnsi="宋体" w:eastAsia="宋体"/>
          <w:b w:val="0"/>
          <w:sz w:val="21"/>
        </w:rPr>
        <w:t>变异实验比较自适应变异、均匀变异和激进变异三种策略。三种策略的差异只体现在参数调优、算术与 Mask 优化、结构重写三类变异的采样方式，其他提示、父代集合和设备评测协议保持一致。均匀变异对三类变异等概率采样，不依赖父代实测性能；激进变异以结构重写为主导；自适应变异则依据父代相对参考实现的实测加速水平动态调整三类变异的比例，在较弱候选上更多进行结构探索，在高性能候选附近转向局部精修。</w:t>
      </w:r>
    </w:p>
    <w:p>
      <w:pPr>
        <w:ind w:firstLine="420"/>
      </w:pPr>
      <w:r>
        <w:rPr>
          <w:rFonts w:ascii="宋体" w:hAnsi="宋体" w:eastAsia="宋体"/>
          <w:b w:val="0"/>
          <w:sz w:val="21"/>
        </w:rPr>
        <w:t>具体地，三类变异操作的含义如下：参数调优只调整 num_warps、num_stages、BLOCK_SIZE 等 Launch 与 constexpr 参数，保持核心计算、Grid、寻址与 Mask 不变；算术与 Mask 优化在保持 Grid 与输出元素映射的前提下做数学等价替换与谓词、对齐简化；结构重写则允许重构 Grid 与 program_id 解码、改变任务打包与分块方式。三种策略的差别即体现在对这三类的采样权重上：均匀变异对三类等概率采样（各 1/3），且完全不参考父代的实测性能；激进变异以结构重写为主导，三类权重依次为 0.60、0.25、0.15；自适应变异并非一组固定权重，而是按父代相对参考实现的加速比分为三档——加速比大于 2.5 时只采用算术与 Mask 优化（0.70）与参数调优（0.30）、完全不触发结构重写，介于 1.5 与 2.5 之间时以算术与 Mask 优化为主（0.60/0.30/0.10），小于 1.5 时才以结构重写为主（0.50/0.35/0.15）。因此在阅读表9 时需要注意，自适应变异的实测占比并非一个固定分布，而是上述三档规则在本次父代构成上的混合结果。</w:t>
      </w:r>
    </w:p>
    <w:p>
      <w:pPr>
        <w:ind w:firstLine="420"/>
      </w:pPr>
      <w:r>
        <w:rPr>
          <w:rFonts w:ascii="宋体" w:hAnsi="宋体" w:eastAsia="宋体"/>
          <w:b w:val="0"/>
          <w:sz w:val="21"/>
        </w:rPr>
        <w:t>对于每个完成评测的变异子代，以父代延迟 T_parent 与子代延迟 T_child 计算 G_mut，当 G_mut &gt; 1 时表示该次变异带来性能提升。有效变异率表示能够完成编译、功能验证和性能测量的变异子代占全部变异子代的比例；优化成功率表示有效变异中 G_mut &gt; 1 的比例；平均优化幅度使用有效变异的 GM(G_mut)。</w:t>
      </w:r>
    </w:p>
    <w:p>
      <w:pPr>
        <w:spacing w:before="80" w:after="80"/>
        <w:jc w:val="center"/>
      </w:pPr>
      <w:r>
        <w:rPr>
          <w:rFonts w:ascii="Times New Roman" w:hAnsi="Times New Roman" w:eastAsia="Times New Roman"/>
          <w:b w:val="0"/>
          <w:i/>
          <w:sz w:val="21"/>
        </w:rPr>
        <w:t>G_mut = T_parent / T_child</w:t>
      </w:r>
    </w:p>
    <w:p>
      <w:pPr>
        <w:spacing w:before="80" w:after="80"/>
        <w:jc w:val="center"/>
      </w:pPr>
      <w:r>
        <w:rPr>
          <w:rFonts w:ascii="Times New Roman" w:hAnsi="Times New Roman" w:eastAsia="Times New Roman"/>
          <w:b w:val="0"/>
          <w:i/>
          <w:sz w:val="21"/>
        </w:rPr>
        <w:t>上述三种策略的差异只体现在变异类型的采样方式上。为直接检验这一差异是否真实成立、并剥离搜索轨迹的影响，本文在固定父代上做一次机制探测：在 3.3 与 3.4.1、3.4.2 所用的同一批 15 个算子上，为每个算子选取 2 个父代个体（其最快初始种子与已有最优候选各 1 个），共 30 个父代；每个算子取两个父代，是因为自适应变异的类型权重依父代水平而定，只有覆盖不同水平的父代才能检验其分级行为。在每个父代上分别按三种策略各生成 3 个变异体并完整评测，共 270 个变异体。由于父代固定且必定有效，三种策略面对的是同一批父代，观测到的差异只能来自策略本身；同时每个变异体都携带父代延迟，样本可用率接近 100%（端到端实验中约 65% 的变异样本因父代评测失败而无法计算增益）。每个变异体采用多次测量取中位数，量测抖动约为 ±2.5%（由未改动代码的无操作变异样本实测得到）。结果如表9所示。需要说明的是，本探测回答的是“一次变异的策略差异”，与表9 的端到端结果互相补充、不可互相替代。</w:t>
      </w:r>
    </w:p>
    <w:p>
      <w:pPr>
        <w:spacing w:before="80" w:after="80"/>
        <w:jc w:val="center"/>
      </w:pPr>
      <w:r>
        <w:rPr>
          <w:rFonts w:ascii="Times New Roman" w:hAnsi="Times New Roman" w:eastAsia="Times New Roman"/>
          <w:b w:val="0"/>
          <w:i/>
          <w:sz w:val="21"/>
        </w:rPr>
        <w:t>表9 变异策略机制探测（固定父代，每父代每策略 3 次）</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1234"/>
          </w:tcPr>
          <w:p>
            <w:r>
              <w:rPr>
                <w:rFonts w:ascii="黑体" w:hAnsi="黑体" w:eastAsia="黑体"/>
                <w:b/>
                <w:sz w:val="19"/>
              </w:rPr>
              <w:t>变异策略</w:t>
            </w:r>
          </w:p>
        </w:tc>
        <w:tc>
          <w:tcPr>
            <w:tcW w:type="dxa" w:w="1234"/>
          </w:tcPr>
          <w:p>
            <w:r>
              <w:rPr>
                <w:rFonts w:ascii="黑体" w:hAnsi="黑体" w:eastAsia="黑体"/>
                <w:b/>
                <w:sz w:val="19"/>
              </w:rPr>
              <w:t>参数调优</w:t>
            </w:r>
          </w:p>
        </w:tc>
        <w:tc>
          <w:tcPr>
            <w:tcW w:type="dxa" w:w="1234"/>
          </w:tcPr>
          <w:p>
            <w:r>
              <w:rPr>
                <w:rFonts w:ascii="黑体" w:hAnsi="黑体" w:eastAsia="黑体"/>
                <w:b/>
                <w:sz w:val="19"/>
              </w:rPr>
              <w:t>算术与 Mask</w:t>
            </w:r>
          </w:p>
        </w:tc>
        <w:tc>
          <w:tcPr>
            <w:tcW w:type="dxa" w:w="1234"/>
          </w:tcPr>
          <w:p>
            <w:r>
              <w:rPr>
                <w:rFonts w:ascii="黑体" w:hAnsi="黑体" w:eastAsia="黑体"/>
                <w:b/>
                <w:sz w:val="19"/>
              </w:rPr>
              <w:t>结构重写</w:t>
            </w:r>
          </w:p>
        </w:tc>
        <w:tc>
          <w:tcPr>
            <w:tcW w:type="dxa" w:w="1234"/>
          </w:tcPr>
          <w:p>
            <w:r>
              <w:rPr>
                <w:rFonts w:ascii="黑体" w:hAnsi="黑体" w:eastAsia="黑体"/>
                <w:b/>
                <w:sz w:val="19"/>
              </w:rPr>
              <w:t>无操作率</w:t>
            </w:r>
          </w:p>
        </w:tc>
        <w:tc>
          <w:tcPr>
            <w:tcW w:type="dxa" w:w="1234"/>
          </w:tcPr>
          <w:p>
            <w:r>
              <w:rPr>
                <w:rFonts w:ascii="黑体" w:hAnsi="黑体" w:eastAsia="黑体"/>
                <w:b/>
                <w:sz w:val="19"/>
              </w:rPr>
              <w:t>改进率 P(G&gt;1)</w:t>
            </w:r>
          </w:p>
        </w:tc>
        <w:tc>
          <w:tcPr>
            <w:tcW w:type="dxa" w:w="1234"/>
          </w:tcPr>
          <w:p>
            <w:r>
              <w:rPr>
                <w:rFonts w:ascii="黑体" w:hAnsi="黑体" w:eastAsia="黑体"/>
                <w:b/>
                <w:sz w:val="19"/>
              </w:rPr>
              <w:t>改进率 95%CI</w:t>
            </w:r>
          </w:p>
        </w:tc>
      </w:tr>
      <w:tr>
        <w:tc>
          <w:tcPr>
            <w:tcW w:type="dxa" w:w="1234"/>
          </w:tcPr>
          <w:p>
            <w:r>
              <w:rPr>
                <w:rFonts w:ascii="宋体" w:hAnsi="宋体" w:eastAsia="宋体"/>
                <w:b w:val="0"/>
                <w:sz w:val="19"/>
              </w:rPr>
              <w:t>自适应变异</w:t>
            </w:r>
          </w:p>
        </w:tc>
        <w:tc>
          <w:tcPr>
            <w:tcW w:type="dxa" w:w="1234"/>
          </w:tcPr>
          <w:p>
            <w:r>
              <w:rPr>
                <w:rFonts w:ascii="宋体" w:hAnsi="宋体" w:eastAsia="宋体"/>
                <w:b w:val="0"/>
                <w:sz w:val="19"/>
              </w:rPr>
              <w:t>15.6%</w:t>
            </w:r>
          </w:p>
        </w:tc>
        <w:tc>
          <w:tcPr>
            <w:tcW w:type="dxa" w:w="1234"/>
          </w:tcPr>
          <w:p>
            <w:r>
              <w:rPr>
                <w:rFonts w:ascii="宋体" w:hAnsi="宋体" w:eastAsia="宋体"/>
                <w:b w:val="0"/>
                <w:sz w:val="19"/>
              </w:rPr>
              <w:t>48.9%</w:t>
            </w:r>
          </w:p>
        </w:tc>
        <w:tc>
          <w:tcPr>
            <w:tcW w:type="dxa" w:w="1234"/>
          </w:tcPr>
          <w:p>
            <w:r>
              <w:rPr>
                <w:rFonts w:ascii="宋体" w:hAnsi="宋体" w:eastAsia="宋体"/>
                <w:b w:val="0"/>
                <w:sz w:val="19"/>
              </w:rPr>
              <w:t>35.6%</w:t>
            </w:r>
          </w:p>
        </w:tc>
        <w:tc>
          <w:tcPr>
            <w:tcW w:type="dxa" w:w="1234"/>
          </w:tcPr>
          <w:p>
            <w:r>
              <w:rPr>
                <w:rFonts w:ascii="宋体" w:hAnsi="宋体" w:eastAsia="宋体"/>
                <w:b w:val="0"/>
                <w:sz w:val="19"/>
              </w:rPr>
              <w:t>18.9%</w:t>
            </w:r>
          </w:p>
        </w:tc>
        <w:tc>
          <w:tcPr>
            <w:tcW w:type="dxa" w:w="1234"/>
          </w:tcPr>
          <w:p>
            <w:r>
              <w:rPr>
                <w:rFonts w:ascii="宋体" w:hAnsi="宋体" w:eastAsia="宋体"/>
                <w:b w:val="0"/>
                <w:sz w:val="19"/>
              </w:rPr>
              <w:t>52.4%</w:t>
            </w:r>
          </w:p>
        </w:tc>
        <w:tc>
          <w:tcPr>
            <w:tcW w:type="dxa" w:w="1234"/>
          </w:tcPr>
          <w:p>
            <w:r>
              <w:rPr>
                <w:rFonts w:ascii="宋体" w:hAnsi="宋体" w:eastAsia="宋体"/>
                <w:b w:val="0"/>
                <w:sz w:val="19"/>
              </w:rPr>
              <w:t>[41.7%, 63.1%]</w:t>
            </w:r>
          </w:p>
        </w:tc>
      </w:tr>
      <w:tr>
        <w:tc>
          <w:tcPr>
            <w:tcW w:type="dxa" w:w="1234"/>
          </w:tcPr>
          <w:p>
            <w:r>
              <w:rPr>
                <w:rFonts w:ascii="宋体" w:hAnsi="宋体" w:eastAsia="宋体"/>
                <w:b w:val="0"/>
                <w:sz w:val="19"/>
              </w:rPr>
              <w:t>均匀变异</w:t>
            </w:r>
          </w:p>
        </w:tc>
        <w:tc>
          <w:tcPr>
            <w:tcW w:type="dxa" w:w="1234"/>
          </w:tcPr>
          <w:p>
            <w:r>
              <w:rPr>
                <w:rFonts w:ascii="宋体" w:hAnsi="宋体" w:eastAsia="宋体"/>
                <w:b w:val="0"/>
                <w:sz w:val="19"/>
              </w:rPr>
              <w:t>26.7%</w:t>
            </w:r>
          </w:p>
        </w:tc>
        <w:tc>
          <w:tcPr>
            <w:tcW w:type="dxa" w:w="1234"/>
          </w:tcPr>
          <w:p>
            <w:r>
              <w:rPr>
                <w:rFonts w:ascii="宋体" w:hAnsi="宋体" w:eastAsia="宋体"/>
                <w:b w:val="0"/>
                <w:sz w:val="19"/>
              </w:rPr>
              <w:t>40.0%</w:t>
            </w:r>
          </w:p>
        </w:tc>
        <w:tc>
          <w:tcPr>
            <w:tcW w:type="dxa" w:w="1234"/>
          </w:tcPr>
          <w:p>
            <w:r>
              <w:rPr>
                <w:rFonts w:ascii="宋体" w:hAnsi="宋体" w:eastAsia="宋体"/>
                <w:b w:val="0"/>
                <w:sz w:val="19"/>
              </w:rPr>
              <w:t>33.3%</w:t>
            </w:r>
          </w:p>
        </w:tc>
        <w:tc>
          <w:tcPr>
            <w:tcW w:type="dxa" w:w="1234"/>
          </w:tcPr>
          <w:p>
            <w:r>
              <w:rPr>
                <w:rFonts w:ascii="宋体" w:hAnsi="宋体" w:eastAsia="宋体"/>
                <w:b w:val="0"/>
                <w:sz w:val="19"/>
              </w:rPr>
              <w:t>17.8%</w:t>
            </w:r>
          </w:p>
        </w:tc>
        <w:tc>
          <w:tcPr>
            <w:tcW w:type="dxa" w:w="1234"/>
          </w:tcPr>
          <w:p>
            <w:r>
              <w:rPr>
                <w:rFonts w:ascii="宋体" w:hAnsi="宋体" w:eastAsia="宋体"/>
                <w:b w:val="0"/>
                <w:sz w:val="19"/>
              </w:rPr>
              <w:t>45.5%</w:t>
            </w:r>
          </w:p>
        </w:tc>
        <w:tc>
          <w:tcPr>
            <w:tcW w:type="dxa" w:w="1234"/>
          </w:tcPr>
          <w:p>
            <w:r>
              <w:rPr>
                <w:rFonts w:ascii="宋体" w:hAnsi="宋体" w:eastAsia="宋体"/>
                <w:b w:val="0"/>
                <w:sz w:val="19"/>
              </w:rPr>
              <w:t>[35.2%, 55.7%]</w:t>
            </w:r>
          </w:p>
        </w:tc>
      </w:tr>
      <w:tr>
        <w:tc>
          <w:tcPr>
            <w:tcW w:type="dxa" w:w="1234"/>
          </w:tcPr>
          <w:p>
            <w:r>
              <w:rPr>
                <w:rFonts w:ascii="宋体" w:hAnsi="宋体" w:eastAsia="宋体"/>
                <w:b w:val="0"/>
                <w:sz w:val="19"/>
              </w:rPr>
              <w:t>激进变异</w:t>
            </w:r>
          </w:p>
        </w:tc>
        <w:tc>
          <w:tcPr>
            <w:tcW w:type="dxa" w:w="1234"/>
          </w:tcPr>
          <w:p>
            <w:r>
              <w:rPr>
                <w:rFonts w:ascii="宋体" w:hAnsi="宋体" w:eastAsia="宋体"/>
                <w:b w:val="0"/>
                <w:sz w:val="19"/>
              </w:rPr>
              <w:t>14.4%</w:t>
            </w:r>
          </w:p>
        </w:tc>
        <w:tc>
          <w:tcPr>
            <w:tcW w:type="dxa" w:w="1234"/>
          </w:tcPr>
          <w:p>
            <w:r>
              <w:rPr>
                <w:rFonts w:ascii="宋体" w:hAnsi="宋体" w:eastAsia="宋体"/>
                <w:b w:val="0"/>
                <w:sz w:val="19"/>
              </w:rPr>
              <w:t>18.9%</w:t>
            </w:r>
          </w:p>
        </w:tc>
        <w:tc>
          <w:tcPr>
            <w:tcW w:type="dxa" w:w="1234"/>
          </w:tcPr>
          <w:p>
            <w:r>
              <w:rPr>
                <w:rFonts w:ascii="宋体" w:hAnsi="宋体" w:eastAsia="宋体"/>
                <w:b w:val="0"/>
                <w:sz w:val="19"/>
              </w:rPr>
              <w:t>66.7%</w:t>
            </w:r>
          </w:p>
        </w:tc>
        <w:tc>
          <w:tcPr>
            <w:tcW w:type="dxa" w:w="1234"/>
          </w:tcPr>
          <w:p>
            <w:r>
              <w:rPr>
                <w:rFonts w:ascii="宋体" w:hAnsi="宋体" w:eastAsia="宋体"/>
                <w:b w:val="0"/>
                <w:sz w:val="19"/>
              </w:rPr>
              <w:t>14.4%</w:t>
            </w:r>
          </w:p>
        </w:tc>
        <w:tc>
          <w:tcPr>
            <w:tcW w:type="dxa" w:w="1234"/>
          </w:tcPr>
          <w:p>
            <w:r>
              <w:rPr>
                <w:rFonts w:ascii="宋体" w:hAnsi="宋体" w:eastAsia="宋体"/>
                <w:b w:val="0"/>
                <w:sz w:val="19"/>
              </w:rPr>
              <w:t>39.8%</w:t>
            </w:r>
          </w:p>
        </w:tc>
        <w:tc>
          <w:tcPr>
            <w:tcW w:type="dxa" w:w="1234"/>
          </w:tcPr>
          <w:p>
            <w:r>
              <w:rPr>
                <w:rFonts w:ascii="宋体" w:hAnsi="宋体" w:eastAsia="宋体"/>
                <w:b w:val="0"/>
                <w:sz w:val="19"/>
              </w:rPr>
              <w:t>[29.5%, 50.0%]</w:t>
            </w:r>
          </w:p>
        </w:tc>
      </w:tr>
    </w:tbl>
    <w:p>
      <w:pPr>
        <w:spacing w:before="80" w:after="80"/>
        <w:jc w:val="center"/>
      </w:pPr>
      <w:r>
        <w:rPr>
          <w:rFonts w:ascii="Times New Roman" w:hAnsi="Times New Roman" w:eastAsia="Times New Roman"/>
          <w:b w:val="0"/>
          <w:i/>
          <w:sz w:val="21"/>
        </w:rPr>
        <w:t>由表9可见，三种策略的实测类型分布与其名义设定一致：激进变异的结构重写占比最高，为 66.7%（名义 60%），均匀变异三类接近均分（26.7%、40.0%、33.3%），自适应变异则介于两者之间。三者的源码相似度（0.876 至 0.886）与平均改动行数（18.2 至 21.2 行）彼此接近，说明三种策略的差别在于“改什么”而非“改多少”。更能说明问题的是自适应变异的分级规则：其变异类型依父代水平而定，在低水平父代（n=69）上结构重写占 46.4%，而在高水平父代（n=18）上结构重写完全不出现（0.0%）、算术等价化提升到 83.3%，与算法设定完全吻合。在更能反映单次收益的改进率 P(G_mut &gt; 1) 上，自适应变异为 52.4%、均匀变异为 45.5%、激进变异为 39.8%，三者的置信区间互相重叠；按父代配对比较，任意两者之差的置信区间均包含 0，Wilcoxon 符号秩检验亦不显著（p 介于 0.101 与 0.276 之间）。进一步做方差分解：按策略分组时，组间（策略身份）占 0.9%、组内（同一策略内部的采样随机性）占 99.1%；另按父代分组作同样的分解，父代身份占 35.5%。两者为两次独立的单因素分解，占比不可直接相加。由此可见，三种策略确实改变了变异的行为，但并未改变单次变异的期望收益；决定一次变异是否有效的关键是“对哪个父代变异”，而非“采用哪种变异策略”，这与 3.4.2 中主干保持型保护交叉的结论一致。需要说明的是，本文不以端到端加速比作为判别三种变异策略的依据：该指标经过两代进化与精英保留之后，初始差异已被稀释，且在本文的实验规模下三种策略的差异不显著（Friedman 检验 p = 0.4371），逐个算子剔除时最优者还会发生变化，因此不足以支撑稳定的排序结论。</w:t>
      </w:r>
    </w:p>
    <w:p>
      <w:pPr>
        <w:spacing w:after="40"/>
      </w:pPr>
    </w:p>
    <w:p>
      <w:pPr>
        <w:spacing w:before="200" w:after="80"/>
      </w:pPr>
      <w:r>
        <w:rPr>
          <w:rFonts w:ascii="黑体" w:hAnsi="黑体" w:eastAsia="黑体"/>
          <w:b/>
          <w:sz w:val="24"/>
        </w:rPr>
        <w:t>3.5 代表性算子案例分析</w:t>
      </w:r>
    </w:p>
    <w:p>
      <w:pPr>
        <w:ind w:firstLine="420"/>
      </w:pPr>
      <w:r>
        <w:rPr>
          <w:rFonts w:ascii="宋体" w:hAnsi="宋体" w:eastAsia="宋体"/>
          <w:b w:val="0"/>
          <w:sz w:val="21"/>
        </w:rPr>
        <w:t>在总体实验和消融实验之后，选取少量代表性算子解释具体优化过程。本节不再引入新的主评价指标，而是记录参考实现延迟 T_base、优化前候选延迟 T_before、优化后候选延迟 T_after 及最终加速比 S，并从实际 Profiling 结果中选择与该案例最相关的一个硬件指标进行前后对比，用以说明优化方向与硬件瓶颈之间的对应关系。</w:t>
      </w:r>
    </w:p>
    <w:p>
      <w:pPr>
        <w:spacing w:before="160" w:after="200"/>
        <w:jc w:val="center"/>
      </w:pPr>
      <w:r>
        <w:rPr>
          <w:rFonts w:ascii="黑体" w:hAnsi="黑体" w:eastAsia="黑体"/>
          <w:b/>
          <w:sz w:val="19"/>
        </w:rPr>
        <w:t>表10 代表性算子案例的可测量数据</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134"/>
          </w:tcPr>
          <w:p>
            <w:pPr>
              <w:jc w:val="center"/>
            </w:pPr>
            <w:r/>
            <w:r>
              <w:rPr>
                <w:rFonts w:ascii="黑体" w:hAnsi="黑体" w:eastAsia="黑体"/>
                <w:b/>
                <w:sz w:val="19"/>
              </w:rPr>
              <w:t>算子</w:t>
            </w:r>
          </w:p>
        </w:tc>
        <w:tc>
          <w:tcPr>
            <w:tcW w:type="dxa" w:w="1020"/>
          </w:tcPr>
          <w:p>
            <w:pPr>
              <w:jc w:val="center"/>
            </w:pPr>
            <w:r/>
            <w:r>
              <w:rPr>
                <w:rFonts w:ascii="黑体" w:hAnsi="黑体" w:eastAsia="黑体"/>
                <w:b/>
                <w:sz w:val="19"/>
              </w:rPr>
              <w:t>T_base</w:t>
            </w:r>
          </w:p>
        </w:tc>
        <w:tc>
          <w:tcPr>
            <w:tcW w:type="dxa" w:w="1134"/>
          </w:tcPr>
          <w:p>
            <w:pPr>
              <w:jc w:val="center"/>
            </w:pPr>
            <w:r/>
            <w:r>
              <w:rPr>
                <w:rFonts w:ascii="黑体" w:hAnsi="黑体" w:eastAsia="黑体"/>
                <w:b/>
                <w:sz w:val="19"/>
              </w:rPr>
              <w:t>T_before</w:t>
            </w:r>
          </w:p>
        </w:tc>
        <w:tc>
          <w:tcPr>
            <w:tcW w:type="dxa" w:w="1020"/>
          </w:tcPr>
          <w:p>
            <w:pPr>
              <w:jc w:val="center"/>
            </w:pPr>
            <w:r/>
            <w:r>
              <w:rPr>
                <w:rFonts w:ascii="黑体" w:hAnsi="黑体" w:eastAsia="黑体"/>
                <w:b/>
                <w:sz w:val="19"/>
              </w:rPr>
              <w:t>T_after</w:t>
            </w:r>
          </w:p>
        </w:tc>
        <w:tc>
          <w:tcPr>
            <w:tcW w:type="dxa" w:w="1361"/>
          </w:tcPr>
          <w:p>
            <w:pPr>
              <w:jc w:val="center"/>
            </w:pPr>
            <w:r/>
            <w:r>
              <w:rPr>
                <w:rFonts w:ascii="黑体" w:hAnsi="黑体" w:eastAsia="黑体"/>
                <w:b/>
                <w:sz w:val="19"/>
              </w:rPr>
              <w:t>最终加速比 S</w:t>
            </w:r>
          </w:p>
        </w:tc>
        <w:tc>
          <w:tcPr>
            <w:tcW w:type="dxa" w:w="1814"/>
          </w:tcPr>
          <w:p>
            <w:pPr>
              <w:jc w:val="center"/>
            </w:pPr>
            <w:r/>
            <w:r>
              <w:rPr>
                <w:rFonts w:ascii="黑体" w:hAnsi="黑体" w:eastAsia="黑体"/>
                <w:b/>
                <w:sz w:val="19"/>
              </w:rPr>
              <w:t>主要 Profiling 指标</w:t>
            </w:r>
          </w:p>
        </w:tc>
        <w:tc>
          <w:tcPr>
            <w:tcW w:type="dxa" w:w="1020"/>
          </w:tcPr>
          <w:p>
            <w:pPr>
              <w:jc w:val="center"/>
            </w:pPr>
            <w:r/>
            <w:r>
              <w:rPr>
                <w:rFonts w:ascii="黑体" w:hAnsi="黑体" w:eastAsia="黑体"/>
                <w:b/>
                <w:sz w:val="19"/>
              </w:rPr>
              <w:t>优化前值</w:t>
            </w:r>
          </w:p>
        </w:tc>
        <w:tc>
          <w:tcPr>
            <w:tcW w:type="dxa" w:w="1020"/>
          </w:tcPr>
          <w:p>
            <w:pPr>
              <w:jc w:val="center"/>
            </w:pPr>
            <w:r/>
            <w:r>
              <w:rPr>
                <w:rFonts w:ascii="黑体" w:hAnsi="黑体" w:eastAsia="黑体"/>
                <w:b/>
                <w:sz w:val="19"/>
              </w:rPr>
              <w:t>优化后值</w:t>
            </w:r>
          </w:p>
        </w:tc>
      </w:tr>
      <w:tr>
        <w:tc>
          <w:tcPr>
            <w:tcW w:type="dxa" w:w="1134"/>
          </w:tcPr>
          <w:p>
            <w:pPr>
              <w:jc w:val="center"/>
            </w:pPr>
            <w:r/>
            <w:r>
              <w:rPr>
                <w:rFonts w:ascii="宋体" w:hAnsi="宋体" w:eastAsia="宋体"/>
                <w:b w:val="0"/>
                <w:sz w:val="19"/>
              </w:rPr>
              <w:t>案例1</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案例2</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案例3</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bl>
    <w:p>
      <w:pPr>
        <w:spacing w:after="40"/>
      </w:pPr>
    </w:p>
    <w:p>
      <w:pPr>
        <w:spacing w:before="200" w:after="80"/>
      </w:pPr>
      <w:r>
        <w:rPr>
          <w:rFonts w:ascii="黑体" w:hAnsi="黑体" w:eastAsia="黑体"/>
          <w:b/>
          <w:sz w:val="24"/>
        </w:rPr>
        <w:t>3.6 候选预筛选机制</w:t>
      </w:r>
    </w:p>
    <w:p>
      <w:pPr>
        <w:spacing w:before="160" w:after="80"/>
      </w:pPr>
      <w:r>
        <w:rPr>
          <w:rFonts w:ascii="黑体" w:hAnsi="黑体" w:eastAsia="黑体"/>
          <w:b/>
          <w:sz w:val="21"/>
        </w:rPr>
        <w:t>3.6.1 动机</w:t>
      </w:r>
    </w:p>
    <w:p>
      <w:pPr>
        <w:spacing w:line="360" w:lineRule="auto" w:after="120"/>
        <w:ind w:firstLine="420"/>
      </w:pPr>
      <w:r>
        <w:rPr>
          <w:rFonts w:ascii="宋体" w:hAnsi="宋体" w:eastAsia="宋体"/>
          <w:b w:val="0"/>
          <w:sz w:val="21"/>
        </w:rPr>
        <w:t>真机评测是搜索过程中的主要时间开销，单次评测耗时远高于候选生成的边际成本。在第 3.1 节的预算约束下，每个算子仅有 13 次真机评测机会；若生成的候选中有相当比例并未优于其父代，则有限的评测预算被低效占用。本节在进入真机评测之前增加一个候选预筛选环节：先以较低成本估计子代优于父代的可能性，仅将估计更可能带来改进的候选送交 NPU，从而使评测预算集中在更有价值的候选上。</w:t>
      </w:r>
    </w:p>
    <w:p>
      <w:pPr>
        <w:spacing w:before="160" w:after="80"/>
      </w:pPr>
      <w:r>
        <w:rPr>
          <w:rFonts w:ascii="黑体" w:hAnsi="黑体" w:eastAsia="黑体"/>
          <w:b/>
          <w:sz w:val="21"/>
        </w:rPr>
        <w:t>3.6.2 训练数据采集</w:t>
      </w:r>
    </w:p>
    <w:p>
      <w:pPr>
        <w:spacing w:line="360" w:lineRule="auto" w:after="120"/>
        <w:ind w:firstLine="420"/>
      </w:pPr>
      <w:r>
        <w:rPr>
          <w:rFonts w:ascii="宋体" w:hAnsi="宋体" w:eastAsia="宋体"/>
          <w:b w:val="0"/>
          <w:sz w:val="21"/>
        </w:rPr>
        <w:t>预筛选模型的训练数据来自搜索过程本身，不需要额外的实验开销。系统在每次真机评测完成后自动记录一条样本，内容包括：候选与其父代的标识、父代延迟与子代实测延迟、操作类型（初始化、交叉或变异）与具体变异类型、所在代数，以及由父子延迟关系得到的二分类标签，即子代是否优于父代。所有进入评测的候选源码按其标识保存，供事后计算代码差异等结构特征。</w:t>
      </w:r>
    </w:p>
    <w:p>
      <w:pPr>
        <w:spacing w:line="360" w:lineRule="auto" w:after="120"/>
        <w:ind w:firstLine="420"/>
      </w:pPr>
      <w:r>
        <w:rPr>
          <w:rFonts w:ascii="宋体" w:hAnsi="宋体" w:eastAsia="宋体"/>
          <w:b w:val="0"/>
          <w:sz w:val="21"/>
        </w:rPr>
        <w:t>需要强调的是，数据采集环节只做记录，不参与任何搜索决策，也不改变候选的生成、筛选与评测方式，因此不会影响前五节实验的行为与结果。样本规模随前五节实验的推进而累积。截至本文整理时，共采集到 4696 条样本，其中正式搜索产生的样本 4639 条。</w:t>
      </w:r>
    </w:p>
    <w:p>
      <w:pPr>
        <w:spacing w:before="160" w:after="80"/>
      </w:pPr>
      <w:r>
        <w:rPr>
          <w:rFonts w:ascii="黑体" w:hAnsi="黑体" w:eastAsia="黑体"/>
          <w:b/>
          <w:sz w:val="21"/>
        </w:rPr>
        <w:t>3.6.3 模型设计与集成方式</w:t>
      </w:r>
    </w:p>
    <w:p>
      <w:pPr>
        <w:spacing w:line="360" w:lineRule="auto" w:after="120"/>
        <w:ind w:firstLine="420"/>
      </w:pPr>
      <w:r>
        <w:rPr>
          <w:rFonts w:ascii="宋体" w:hAnsi="宋体" w:eastAsia="宋体"/>
          <w:b w:val="0"/>
          <w:sz w:val="21"/>
        </w:rPr>
        <w:t>预筛选任务定义为二分类：给定候选及其父代信息，预测该候选是否优于其父代。之所以不直接预测执行延迟，是因为延迟为绝对值、在不同算子之间不可比；而“是否优于父代”这一语义与具体算子无关，具有跨算子的可迁移性。考虑到可获得的样本规模有限，本文对比了逻辑回归与梯度提升树两类小样本下较稳定的学习器，并根据离线评估结果选择表现更优者，输入特征包括候选与父代的代码差异程度、改动所涉及的区域类别、变异或交叉类型、父代在种群中的相对性能位置以及代数信息。</w:t>
      </w:r>
    </w:p>
    <w:p>
      <w:pPr>
        <w:spacing w:line="360" w:lineRule="auto" w:after="120"/>
        <w:ind w:firstLine="420"/>
      </w:pPr>
      <w:r>
        <w:rPr>
          <w:rFonts w:ascii="宋体" w:hAnsi="宋体" w:eastAsia="宋体"/>
          <w:b w:val="0"/>
          <w:sz w:val="21"/>
        </w:rPr>
        <w:t>集成时保持 NPU 评测预算不变，仍为每个算子 13 次。具体做法是扩大候选生成规模，由模型对全部候选按估计的改进概率排序，取排名前 13 的候选送交真机评测，其余候选直接丢弃并记录。因此该机制带来的额外开销是候选池扩大所对应的生成调用增加，而设备评测开销保持不变，与第 3.1 节的预算定义仍然一致。</w:t>
      </w:r>
    </w:p>
    <w:p>
      <w:pPr>
        <w:spacing w:before="160" w:after="80"/>
      </w:pPr>
      <w:r>
        <w:rPr>
          <w:rFonts w:ascii="黑体" w:hAnsi="黑体" w:eastAsia="黑体"/>
          <w:b/>
          <w:sz w:val="21"/>
        </w:rPr>
        <w:t>3.6.4 评估指标</w:t>
      </w:r>
    </w:p>
    <w:p>
      <w:pPr>
        <w:spacing w:line="360" w:lineRule="auto" w:after="120"/>
        <w:ind w:firstLine="420"/>
      </w:pPr>
      <w:r>
        <w:rPr>
          <w:rFonts w:ascii="宋体" w:hAnsi="宋体" w:eastAsia="宋体"/>
          <w:b w:val="0"/>
          <w:sz w:val="21"/>
        </w:rPr>
        <w:t>预筛选机制从三个层面评估。模型质量层面统计精确率、召回率与 AUC，其中精确率反映被判定为可能改进的候选中真正优于父代的比例；预算效率层面统计单位评测所带来的有效改进次数；最终结果层面考察在相同 NPU 预算下 GM(S) 是否得到提升。</w:t>
      </w:r>
    </w:p>
    <w:p>
      <w:pPr>
        <w:spacing w:line="360" w:lineRule="auto" w:after="120"/>
        <w:ind w:firstLine="420"/>
      </w:pPr>
      <w:r>
        <w:rPr>
          <w:rFonts w:ascii="宋体" w:hAnsi="宋体" w:eastAsia="宋体"/>
          <w:b w:val="0"/>
          <w:sz w:val="21"/>
        </w:rPr>
        <w:t>评估中需特别关注假阴性，即被筛除的候选中实际优于父代的比例——这类误筛会直接损失本可获得的改进。此外，由于同一算子的多个候选之间具有较高相似性，训练与测试集的划分采用按算子分组的五折交叉验证，避免随机划分带来的信息泄漏。</w:t>
      </w:r>
    </w:p>
    <w:p>
      <w:pPr>
        <w:spacing w:before="160" w:after="200"/>
        <w:jc w:val="center"/>
      </w:pPr>
      <w:r>
        <w:rPr>
          <w:rFonts w:ascii="黑体" w:hAnsi="黑体" w:eastAsia="黑体"/>
          <w:b/>
          <w:sz w:val="19"/>
        </w:rPr>
        <w:t>表11 候选预筛选效果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268"/>
          </w:tcPr>
          <w:p>
            <w:pPr>
              <w:jc w:val="center"/>
            </w:pPr>
            <w:r/>
            <w:r>
              <w:rPr>
                <w:rFonts w:ascii="黑体" w:hAnsi="黑体" w:eastAsia="黑体"/>
                <w:b/>
                <w:sz w:val="19"/>
              </w:rPr>
              <w:t>配置</w:t>
            </w:r>
          </w:p>
        </w:tc>
        <w:tc>
          <w:tcPr>
            <w:tcW w:type="dxa" w:w="1361"/>
          </w:tcPr>
          <w:p>
            <w:pPr>
              <w:jc w:val="center"/>
            </w:pPr>
            <w:r/>
            <w:r>
              <w:rPr>
                <w:rFonts w:ascii="黑体" w:hAnsi="黑体" w:eastAsia="黑体"/>
                <w:b/>
                <w:sz w:val="19"/>
              </w:rPr>
              <w:t>候选生成数</w:t>
            </w:r>
          </w:p>
        </w:tc>
        <w:tc>
          <w:tcPr>
            <w:tcW w:type="dxa" w:w="1361"/>
          </w:tcPr>
          <w:p>
            <w:pPr>
              <w:jc w:val="center"/>
            </w:pPr>
            <w:r/>
            <w:r>
              <w:rPr>
                <w:rFonts w:ascii="黑体" w:hAnsi="黑体" w:eastAsia="黑体"/>
                <w:b/>
                <w:sz w:val="19"/>
              </w:rPr>
              <w:t>NPU评测数</w:t>
            </w:r>
          </w:p>
        </w:tc>
        <w:tc>
          <w:tcPr>
            <w:tcW w:type="dxa" w:w="1247"/>
          </w:tcPr>
          <w:p>
            <w:pPr>
              <w:jc w:val="center"/>
            </w:pPr>
            <w:r/>
            <w:r>
              <w:rPr>
                <w:rFonts w:ascii="黑体" w:hAnsi="黑体" w:eastAsia="黑体"/>
                <w:b/>
                <w:sz w:val="19"/>
              </w:rPr>
              <w:t>精确率</w:t>
            </w:r>
          </w:p>
        </w:tc>
        <w:tc>
          <w:tcPr>
            <w:tcW w:type="dxa" w:w="1247"/>
          </w:tcPr>
          <w:p>
            <w:pPr>
              <w:jc w:val="center"/>
            </w:pPr>
            <w:r/>
            <w:r>
              <w:rPr>
                <w:rFonts w:ascii="黑体" w:hAnsi="黑体" w:eastAsia="黑体"/>
                <w:b/>
                <w:sz w:val="19"/>
              </w:rPr>
              <w:t>召回率</w:t>
            </w:r>
          </w:p>
        </w:tc>
        <w:tc>
          <w:tcPr>
            <w:tcW w:type="dxa" w:w="1247"/>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无预筛选（3.1 FULL）</w:t>
            </w:r>
          </w:p>
        </w:tc>
        <w:tc>
          <w:tcPr>
            <w:tcW w:type="dxa" w:w="1361"/>
          </w:tcPr>
          <w:p>
            <w:pPr>
              <w:jc w:val="center"/>
            </w:pPr>
            <w:r/>
            <w:r>
              <w:rPr>
                <w:rFonts w:ascii="宋体" w:hAnsi="宋体" w:eastAsia="宋体"/>
                <w:b w:val="0"/>
                <w:sz w:val="19"/>
              </w:rPr>
              <w:t>13</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1.6808</w:t>
            </w:r>
          </w:p>
        </w:tc>
      </w:tr>
      <w:tr>
        <w:tc>
          <w:tcPr>
            <w:tcW w:type="dxa" w:w="2268"/>
          </w:tcPr>
          <w:p>
            <w:pPr>
              <w:jc w:val="center"/>
            </w:pPr>
            <w:r/>
            <w:r>
              <w:rPr>
                <w:rFonts w:ascii="宋体" w:hAnsi="宋体" w:eastAsia="宋体"/>
                <w:b w:val="0"/>
                <w:sz w:val="19"/>
              </w:rPr>
              <w:t>预筛选</w:t>
            </w:r>
          </w:p>
        </w:tc>
        <w:tc>
          <w:tcPr>
            <w:tcW w:type="dxa" w:w="1361"/>
          </w:tcPr>
          <w:p>
            <w:pPr>
              <w:jc w:val="center"/>
            </w:pPr>
            <w:r/>
            <w:r>
              <w:rPr>
                <w:rFonts w:ascii="宋体" w:hAnsi="宋体" w:eastAsia="宋体"/>
                <w:b w:val="0"/>
                <w:sz w:val="19"/>
              </w:rPr>
              <w:t>20</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0.4723（离线）</w:t>
            </w:r>
          </w:p>
        </w:tc>
        <w:tc>
          <w:tcPr>
            <w:tcW w:type="dxa" w:w="1247"/>
          </w:tcPr>
          <w:p>
            <w:pPr>
              <w:jc w:val="center"/>
            </w:pPr>
            <w:r/>
            <w:r>
              <w:rPr>
                <w:rFonts w:ascii="宋体" w:hAnsi="宋体" w:eastAsia="宋体"/>
                <w:b w:val="0"/>
                <w:sz w:val="19"/>
              </w:rPr>
              <w:t>0.1912（离线）</w:t>
            </w:r>
          </w:p>
        </w:tc>
        <w:tc>
          <w:tcPr>
            <w:tcW w:type="dxa" w:w="1247"/>
          </w:tcPr>
          <w:p>
            <w:pPr>
              <w:jc w:val="center"/>
            </w:pPr>
            <w:r/>
            <w:r>
              <w:rPr>
                <w:rFonts w:ascii="宋体" w:hAnsi="宋体" w:eastAsia="宋体"/>
                <w:b w:val="0"/>
                <w:sz w:val="19"/>
              </w:rPr>
              <w:t>待真机验证</w:t>
            </w:r>
          </w:p>
        </w:tc>
      </w:tr>
    </w:tbl>
    <w:p>
      <w:pPr>
        <w:spacing w:after="40"/>
      </w:pPr>
    </w:p>
    <w:p>
      <w:pPr>
        <w:spacing w:before="160" w:after="80"/>
      </w:pPr>
      <w:r>
        <w:rPr>
          <w:rFonts w:ascii="黑体" w:hAnsi="黑体" w:eastAsia="黑体"/>
          <w:b/>
          <w:sz w:val="21"/>
        </w:rPr>
        <w:t>3.6.5 离线验证结果</w:t>
      </w:r>
    </w:p>
    <w:p>
      <w:pPr>
        <w:ind w:firstLine="420"/>
      </w:pPr>
      <w:r>
        <w:rPr>
          <w:rFonts w:ascii="宋体" w:hAnsi="宋体" w:eastAsia="宋体"/>
          <w:b w:val="0"/>
          <w:sz w:val="21"/>
        </w:rPr>
        <w:t>由于预筛选模型的训练数据来自前五节实验，无需额外实验开销，因此可以在不占用 NPU 的条件下完成离线验证。本文对采集到的 4696 条样本做保守清洗：剔除调试阶段产生的重复样本，以及子代延迟高于父代 10 倍以上的异常评测记录，最终保留 4626 条样本，其中正样本 1629 条，占 35.2%，覆盖 50 个算子。</w:t>
      </w:r>
    </w:p>
    <w:p>
      <w:pPr>
        <w:ind w:firstLine="420"/>
      </w:pPr>
      <w:r>
        <w:rPr>
          <w:rFonts w:ascii="宋体" w:hAnsi="宋体" w:eastAsia="宋体"/>
          <w:b w:val="0"/>
          <w:sz w:val="21"/>
        </w:rPr>
        <w:t>特征方面严格区分评测前可得信息与评测后信息。候选自身的 Profiling 诊断文本虽信息丰富，但只有在真机评测之后才能获得，不能作为预筛选阶段的输入；离线实验也表明，单独使用该文本的 AUC 仅为 0.5000，与随机猜测相当。因此最终模型只使用评测前可得特征，包括父代延迟、所在代数、种群规模、阈值设置、操作类型与变异类型，并可选择性加入策略描述文本与候选代码文本。</w:t>
      </w:r>
    </w:p>
    <w:p>
      <w:pPr>
        <w:ind w:firstLine="420"/>
      </w:pPr>
      <w:r>
        <w:rPr>
          <w:rFonts w:ascii="宋体" w:hAnsi="宋体" w:eastAsia="宋体"/>
          <w:b w:val="0"/>
          <w:sz w:val="21"/>
        </w:rPr>
        <w:t>评估采用按算子分组的五折交叉验证，避免同一算子的候选同时出现在训练集与测试集。除 AUC 与 PR-AUC 外，重点报告 Precision@13 与 Recall@13，因为每个算子的真机评测预算为 13 次。</w:t>
      </w:r>
    </w:p>
    <w:p>
      <w:pPr>
        <w:spacing w:before="160" w:after="200"/>
        <w:jc w:val="center"/>
      </w:pPr>
      <w:r>
        <w:rPr>
          <w:rFonts w:ascii="黑体" w:hAnsi="黑体" w:eastAsia="黑体"/>
          <w:b/>
          <w:sz w:val="19"/>
        </w:rPr>
        <w:t>表12 候选预筛选模型离线评估结果</w:t>
      </w:r>
    </w:p>
    <w:tbl>
      <w:tblPr>
        <w:tblStyle w:val="TableGrid"/>
        <w:tblW w:type="auto" w:w="0"/>
        <w:jc w:val="center"/>
        <w:tblLook w:firstColumn="1" w:firstRow="1" w:lastColumn="0" w:lastRow="0" w:noHBand="0" w:noVBand="1" w:val="04A0"/>
      </w:tblPr>
      <w:tblGrid>
        <w:gridCol w:w="2608"/>
        <w:gridCol w:w="1247"/>
        <w:gridCol w:w="1247"/>
        <w:gridCol w:w="1247"/>
        <w:gridCol w:w="1247"/>
      </w:tblGrid>
      <w:tr>
        <w:tc>
          <w:tcPr>
            <w:tcW w:type="dxa" w:w="2608"/>
          </w:tcPr>
          <w:p>
            <w:pPr>
              <w:jc w:val="center"/>
            </w:pPr>
            <w:r/>
            <w:r>
              <w:rPr>
                <w:rFonts w:ascii="黑体" w:hAnsi="黑体" w:eastAsia="黑体"/>
                <w:b/>
                <w:sz w:val="19"/>
              </w:rPr>
              <w:t>输入特征</w:t>
            </w:r>
          </w:p>
        </w:tc>
        <w:tc>
          <w:tcPr>
            <w:tcW w:type="dxa" w:w="1247"/>
          </w:tcPr>
          <w:p>
            <w:pPr>
              <w:jc w:val="center"/>
            </w:pPr>
            <w:r/>
            <w:r>
              <w:rPr>
                <w:rFonts w:ascii="黑体" w:hAnsi="黑体" w:eastAsia="黑体"/>
                <w:b/>
                <w:sz w:val="19"/>
              </w:rPr>
              <w:t>AUC</w:t>
            </w:r>
          </w:p>
        </w:tc>
        <w:tc>
          <w:tcPr>
            <w:tcW w:type="dxa" w:w="1247"/>
          </w:tcPr>
          <w:p>
            <w:pPr>
              <w:jc w:val="center"/>
            </w:pPr>
            <w:r/>
            <w:r>
              <w:rPr>
                <w:rFonts w:ascii="黑体" w:hAnsi="黑体" w:eastAsia="黑体"/>
                <w:b/>
                <w:sz w:val="19"/>
              </w:rPr>
              <w:t>PR-AUC</w:t>
            </w:r>
          </w:p>
        </w:tc>
        <w:tc>
          <w:tcPr>
            <w:tcW w:type="dxa" w:w="1247"/>
          </w:tcPr>
          <w:p>
            <w:pPr>
              <w:jc w:val="center"/>
            </w:pPr>
            <w:r/>
            <w:r>
              <w:rPr>
                <w:rFonts w:ascii="黑体" w:hAnsi="黑体" w:eastAsia="黑体"/>
                <w:b/>
                <w:sz w:val="19"/>
              </w:rPr>
              <w:t>P@13</w:t>
            </w:r>
          </w:p>
        </w:tc>
        <w:tc>
          <w:tcPr>
            <w:tcW w:type="dxa" w:w="1247"/>
          </w:tcPr>
          <w:p>
            <w:pPr>
              <w:jc w:val="center"/>
            </w:pPr>
            <w:r/>
            <w:r>
              <w:rPr>
                <w:rFonts w:ascii="黑体" w:hAnsi="黑体" w:eastAsia="黑体"/>
                <w:b/>
                <w:sz w:val="19"/>
              </w:rPr>
              <w:t>R@13</w:t>
            </w:r>
          </w:p>
        </w:tc>
      </w:tr>
      <w:tr>
        <w:tc>
          <w:tcPr>
            <w:tcW w:type="dxa" w:w="2608"/>
          </w:tcPr>
          <w:p>
            <w:pPr/>
            <w:r/>
            <w:r>
              <w:rPr>
                <w:rFonts w:ascii="宋体" w:hAnsi="宋体" w:eastAsia="宋体"/>
                <w:b w:val="0"/>
                <w:sz w:val="19"/>
              </w:rPr>
              <w:t>仅数值特征</w:t>
            </w:r>
          </w:p>
        </w:tc>
        <w:tc>
          <w:tcPr>
            <w:tcW w:type="dxa" w:w="1247"/>
          </w:tcPr>
          <w:p>
            <w:pPr>
              <w:jc w:val="center"/>
            </w:pPr>
            <w:r/>
            <w:r>
              <w:rPr>
                <w:rFonts w:ascii="宋体" w:hAnsi="宋体" w:eastAsia="宋体"/>
                <w:b w:val="0"/>
                <w:sz w:val="19"/>
              </w:rPr>
              <w:t>0.6363</w:t>
            </w:r>
          </w:p>
        </w:tc>
        <w:tc>
          <w:tcPr>
            <w:tcW w:type="dxa" w:w="1247"/>
          </w:tcPr>
          <w:p>
            <w:pPr>
              <w:jc w:val="center"/>
            </w:pPr>
            <w:r/>
            <w:r>
              <w:rPr>
                <w:rFonts w:ascii="宋体" w:hAnsi="宋体" w:eastAsia="宋体"/>
                <w:b w:val="0"/>
                <w:sz w:val="19"/>
              </w:rPr>
              <w:t>0.4669</w:t>
            </w:r>
          </w:p>
        </w:tc>
        <w:tc>
          <w:tcPr>
            <w:tcW w:type="dxa" w:w="1247"/>
          </w:tcPr>
          <w:p>
            <w:pPr>
              <w:jc w:val="center"/>
            </w:pPr>
            <w:r/>
            <w:r>
              <w:rPr>
                <w:rFonts w:ascii="宋体" w:hAnsi="宋体" w:eastAsia="宋体"/>
                <w:b w:val="0"/>
                <w:sz w:val="19"/>
              </w:rPr>
              <w:t>0.4723</w:t>
            </w:r>
          </w:p>
        </w:tc>
        <w:tc>
          <w:tcPr>
            <w:tcW w:type="dxa" w:w="1247"/>
          </w:tcPr>
          <w:p>
            <w:pPr>
              <w:jc w:val="center"/>
            </w:pPr>
            <w:r/>
            <w:r>
              <w:rPr>
                <w:rFonts w:ascii="宋体" w:hAnsi="宋体" w:eastAsia="宋体"/>
                <w:b w:val="0"/>
                <w:sz w:val="19"/>
              </w:rPr>
              <w:t>0.1912</w:t>
            </w:r>
          </w:p>
        </w:tc>
      </w:tr>
      <w:tr>
        <w:tc>
          <w:tcPr>
            <w:tcW w:type="dxa" w:w="2608"/>
          </w:tcPr>
          <w:p>
            <w:pPr/>
            <w:r/>
            <w:r>
              <w:rPr>
                <w:rFonts w:ascii="宋体" w:hAnsi="宋体" w:eastAsia="宋体"/>
                <w:b w:val="0"/>
                <w:sz w:val="19"/>
              </w:rPr>
              <w:t>数值+策略文本</w:t>
            </w:r>
          </w:p>
        </w:tc>
        <w:tc>
          <w:tcPr>
            <w:tcW w:type="dxa" w:w="1247"/>
          </w:tcPr>
          <w:p>
            <w:pPr>
              <w:jc w:val="center"/>
            </w:pPr>
            <w:r/>
            <w:r>
              <w:rPr>
                <w:rFonts w:ascii="宋体" w:hAnsi="宋体" w:eastAsia="宋体"/>
                <w:b w:val="0"/>
                <w:sz w:val="19"/>
              </w:rPr>
              <w:t>0.6305</w:t>
            </w:r>
          </w:p>
        </w:tc>
        <w:tc>
          <w:tcPr>
            <w:tcW w:type="dxa" w:w="1247"/>
          </w:tcPr>
          <w:p>
            <w:pPr>
              <w:jc w:val="center"/>
            </w:pPr>
            <w:r/>
            <w:r>
              <w:rPr>
                <w:rFonts w:ascii="宋体" w:hAnsi="宋体" w:eastAsia="宋体"/>
                <w:b w:val="0"/>
                <w:sz w:val="19"/>
              </w:rPr>
              <w:t>0.4540</w:t>
            </w:r>
          </w:p>
        </w:tc>
        <w:tc>
          <w:tcPr>
            <w:tcW w:type="dxa" w:w="1247"/>
          </w:tcPr>
          <w:p>
            <w:pPr>
              <w:jc w:val="center"/>
            </w:pPr>
            <w:r/>
            <w:r>
              <w:rPr>
                <w:rFonts w:ascii="宋体" w:hAnsi="宋体" w:eastAsia="宋体"/>
                <w:b w:val="0"/>
                <w:sz w:val="19"/>
              </w:rPr>
              <w:t>0.4369</w:t>
            </w:r>
          </w:p>
        </w:tc>
        <w:tc>
          <w:tcPr>
            <w:tcW w:type="dxa" w:w="1247"/>
          </w:tcPr>
          <w:p>
            <w:pPr>
              <w:jc w:val="center"/>
            </w:pPr>
            <w:r/>
            <w:r>
              <w:rPr>
                <w:rFonts w:ascii="宋体" w:hAnsi="宋体" w:eastAsia="宋体"/>
                <w:b w:val="0"/>
                <w:sz w:val="19"/>
              </w:rPr>
              <w:t>0.1762</w:t>
            </w:r>
          </w:p>
        </w:tc>
      </w:tr>
      <w:tr>
        <w:tc>
          <w:tcPr>
            <w:tcW w:type="dxa" w:w="2608"/>
          </w:tcPr>
          <w:p>
            <w:pPr/>
            <w:r/>
            <w:r>
              <w:rPr>
                <w:rFonts w:ascii="宋体" w:hAnsi="宋体" w:eastAsia="宋体"/>
                <w:b w:val="0"/>
                <w:sz w:val="19"/>
              </w:rPr>
              <w:t>数值+策略+代码</w:t>
            </w:r>
          </w:p>
        </w:tc>
        <w:tc>
          <w:tcPr>
            <w:tcW w:type="dxa" w:w="1247"/>
          </w:tcPr>
          <w:p>
            <w:pPr>
              <w:jc w:val="center"/>
            </w:pPr>
            <w:r/>
            <w:r>
              <w:rPr>
                <w:rFonts w:ascii="宋体" w:hAnsi="宋体" w:eastAsia="宋体"/>
                <w:b w:val="0"/>
                <w:sz w:val="19"/>
              </w:rPr>
              <w:t>0.6435</w:t>
            </w:r>
          </w:p>
        </w:tc>
        <w:tc>
          <w:tcPr>
            <w:tcW w:type="dxa" w:w="1247"/>
          </w:tcPr>
          <w:p>
            <w:pPr>
              <w:jc w:val="center"/>
            </w:pPr>
            <w:r/>
            <w:r>
              <w:rPr>
                <w:rFonts w:ascii="宋体" w:hAnsi="宋体" w:eastAsia="宋体"/>
                <w:b w:val="0"/>
                <w:sz w:val="19"/>
              </w:rPr>
              <w:t>0.4666</w:t>
            </w:r>
          </w:p>
        </w:tc>
        <w:tc>
          <w:tcPr>
            <w:tcW w:type="dxa" w:w="1247"/>
          </w:tcPr>
          <w:p>
            <w:pPr>
              <w:jc w:val="center"/>
            </w:pPr>
            <w:r/>
            <w:r>
              <w:rPr>
                <w:rFonts w:ascii="宋体" w:hAnsi="宋体" w:eastAsia="宋体"/>
                <w:b w:val="0"/>
                <w:sz w:val="19"/>
              </w:rPr>
              <w:t>0.4169</w:t>
            </w:r>
          </w:p>
        </w:tc>
        <w:tc>
          <w:tcPr>
            <w:tcW w:type="dxa" w:w="1247"/>
          </w:tcPr>
          <w:p>
            <w:pPr>
              <w:jc w:val="center"/>
            </w:pPr>
            <w:r/>
            <w:r>
              <w:rPr>
                <w:rFonts w:ascii="宋体" w:hAnsi="宋体" w:eastAsia="宋体"/>
                <w:b w:val="0"/>
                <w:sz w:val="19"/>
              </w:rPr>
              <w:t>0.1680</w:t>
            </w:r>
          </w:p>
        </w:tc>
      </w:tr>
      <w:tr>
        <w:tc>
          <w:tcPr>
            <w:tcW w:type="dxa" w:w="2608"/>
          </w:tcPr>
          <w:p>
            <w:pPr/>
            <w:r/>
            <w:r>
              <w:rPr>
                <w:rFonts w:ascii="宋体" w:hAnsi="宋体" w:eastAsia="宋体"/>
                <w:b w:val="0"/>
                <w:sz w:val="19"/>
              </w:rPr>
              <w:t>随机排序基线</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0.3446</w:t>
            </w:r>
          </w:p>
        </w:tc>
        <w:tc>
          <w:tcPr>
            <w:tcW w:type="dxa" w:w="1247"/>
          </w:tcPr>
          <w:p>
            <w:pPr>
              <w:jc w:val="center"/>
            </w:pPr>
            <w:r/>
            <w:r>
              <w:rPr>
                <w:rFonts w:ascii="宋体" w:hAnsi="宋体" w:eastAsia="宋体"/>
                <w:b w:val="0"/>
                <w:sz w:val="19"/>
              </w:rPr>
              <w:t>—</w:t>
            </w:r>
          </w:p>
        </w:tc>
      </w:tr>
      <w:tr>
        <w:tc>
          <w:tcPr>
            <w:tcW w:type="dxa" w:w="2608"/>
          </w:tcPr>
          <w:p>
            <w:pPr/>
            <w:r/>
            <w:r>
              <w:rPr>
                <w:rFonts w:ascii="宋体" w:hAnsi="宋体" w:eastAsia="宋体"/>
                <w:b w:val="0"/>
                <w:sz w:val="19"/>
              </w:rPr>
              <w:t>无预筛选</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0.3521</w:t>
            </w:r>
          </w:p>
        </w:tc>
        <w:tc>
          <w:tcPr>
            <w:tcW w:type="dxa" w:w="1247"/>
          </w:tcPr>
          <w:p>
            <w:pPr>
              <w:jc w:val="center"/>
            </w:pPr>
            <w:r/>
            <w:r>
              <w:rPr>
                <w:rFonts w:ascii="宋体" w:hAnsi="宋体" w:eastAsia="宋体"/>
                <w:b w:val="0"/>
                <w:sz w:val="19"/>
              </w:rPr>
              <w:t>1.0000</w:t>
            </w:r>
          </w:p>
        </w:tc>
      </w:tr>
    </w:tbl>
    <w:p>
      <w:pPr>
        <w:ind w:firstLine="420"/>
      </w:pPr>
      <w:r>
        <w:rPr>
          <w:rFonts w:ascii="宋体" w:hAnsi="宋体" w:eastAsia="宋体"/>
          <w:b w:val="0"/>
          <w:sz w:val="21"/>
        </w:rPr>
        <w:t>由表12可见，模型质量最好的配置是“数值+策略+代码”，AUC 为 0.6435；但从预算效率看，“仅数值特征”配置取得最高的 Precision@13，为 0.4723。相对于随机排序基线的 0.3446，提升约 37.0%；相对于不做预筛选的 0.3521，提升约 34.1%。本文因此选择“仅数值特征”的逻辑回归作为最终模型：它在有限样本下更稳健，且实现与部署成本最低。</w:t>
      </w:r>
    </w:p>
    <w:p>
      <w:pPr>
        <w:ind w:firstLine="420"/>
      </w:pPr>
      <w:r>
        <w:rPr>
          <w:rFonts w:ascii="宋体" w:hAnsi="宋体" w:eastAsia="宋体"/>
          <w:b w:val="0"/>
          <w:sz w:val="21"/>
        </w:rPr>
        <w:t>需要指出的是，本次增强特征的尝试并未带来提升。加入候选代码文本后 AUC 略有提高，但 Precision@13 下降；加入父代历史成功率与代码结构计数后，AUC 与Precision@13 均出现下降。这说明在 4626 条样本的规模下，新增特征带来的估计方差大于其提供的信息量，模型能力主要受样本规模限制，而非特征维度限制。</w:t>
      </w:r>
    </w:p>
    <w:p>
      <w:pPr>
        <w:ind w:firstLine="420"/>
      </w:pPr>
      <w:r>
        <w:rPr>
          <w:rFonts w:ascii="宋体" w:hAnsi="宋体" w:eastAsia="宋体"/>
          <w:b w:val="0"/>
          <w:sz w:val="21"/>
        </w:rPr>
        <w:t>按操作类型进一步分析可知，模型的判别能力主要集中在变异与交叉候选上：变异候选的 AUC 为 0.6793，交叉候选为 0.5953；而第 0 代初始候选的 AUC 仅为 0.5283 与 0.4738，接近随机。原因是变异与交叉候选具有父代延迟作为明确参照，而第 0 代候选是相对初始种子评估，缺少稳定参照。因此本文在集成时只对变异与交叉阶段启用预筛选，第 0 代候选仍全部送交真机评测。</w:t>
      </w:r>
    </w:p>
    <w:p>
      <w:pPr>
        <w:ind w:firstLine="420"/>
      </w:pPr>
      <w:r>
        <w:rPr>
          <w:rFonts w:ascii="宋体" w:hAnsi="宋体" w:eastAsia="宋体"/>
          <w:b w:val="0"/>
          <w:sz w:val="21"/>
        </w:rPr>
        <w:t>最后需要说明，本节只完成离线验证。表11中“预筛选”一行的精确率、召回率与 GM(S) 需要在将模型接入搜索后通过真机实验获得；受实验设备可用性限制，该在线实验尚未完成，因此表11相应单元格保留为空，不作为已验证结论。</w:t>
      </w:r>
    </w:p>
    <w:p>
      <w:pPr>
        <w:ind w:firstLine="420"/>
      </w:pPr>
      <w:r>
        <w:rPr>
          <w:rFonts w:ascii="宋体" w:hAnsi="宋体" w:eastAsia="宋体"/>
          <w:b w:val="0"/>
          <w:sz w:val="21"/>
        </w:rPr>
        <w:t>注：预筛选一行的精确率与召回率为离线评估结果，即按算子分组交叉验证下取模型排序前 13 个候选时的统计值；GM(S) 需要在模型接入搜索后由真机实验测得，受设备可用性限制尚未完成，故保留为空。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