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5EB4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</w:rPr>
      </w:pPr>
      <w:r>
        <w:rPr>
          <w:rStyle w:val="md-plain"/>
          <w:rFonts w:ascii="Nunito" w:eastAsiaTheme="majorEastAsia" w:hAnsi="Nunito"/>
        </w:rPr>
        <w:t>Normalization</w:t>
      </w:r>
    </w:p>
    <w:p w14:paraId="3FF9D154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1NF</w:t>
      </w:r>
      <w:r w:rsidRPr="00D245C5">
        <w:rPr>
          <w:rStyle w:val="md-plain"/>
          <w:rFonts w:ascii="Nunito" w:eastAsiaTheme="majorEastAsia" w:hAnsi="Nunito"/>
          <w:b/>
          <w:bCs/>
        </w:rPr>
        <w:t xml:space="preserve"> </w:t>
      </w:r>
    </w:p>
    <w:p w14:paraId="6DF57826" w14:textId="115712C8" w:rsidR="00D245C5" w:rsidRPr="00D245C5" w:rsidRDefault="00D245C5" w:rsidP="00D245C5">
      <w:pPr>
        <w:pStyle w:val="md-end-block"/>
        <w:jc w:val="both"/>
        <w:rPr>
          <w:rFonts w:ascii="Nunito" w:eastAsiaTheme="majorEastAsia" w:hAnsi="Nunito"/>
        </w:rPr>
      </w:pPr>
      <w:proofErr w:type="gramStart"/>
      <w:r>
        <w:rPr>
          <w:rStyle w:val="md-plain"/>
          <w:rFonts w:ascii="Nunito" w:eastAsiaTheme="majorEastAsia" w:hAnsi="Nunito"/>
          <w:b/>
          <w:bCs/>
        </w:rPr>
        <w:t>Freight</w:t>
      </w:r>
      <w:r w:rsidRPr="00D245C5">
        <w:rPr>
          <w:rStyle w:val="md-plain"/>
          <w:rFonts w:ascii="Nunito" w:eastAsiaTheme="majorEastAsia" w:hAnsi="Nunito"/>
        </w:rPr>
        <w:t xml:space="preserve">(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proofErr w:type="gram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approval, direction,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7D0F3A45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 xml:space="preserve">For 2NF, </w:t>
      </w:r>
      <w:proofErr w:type="gramStart"/>
      <w:r w:rsidRPr="00D245C5">
        <w:rPr>
          <w:rStyle w:val="md-plain"/>
          <w:rFonts w:ascii="Nunito" w:eastAsiaTheme="majorEastAsia" w:hAnsi="Nunito"/>
        </w:rPr>
        <w:t>There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should be no Partial Dependency.</w:t>
      </w:r>
    </w:p>
    <w:p w14:paraId="4C3B5BA2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Partial Dependency</w:t>
      </w:r>
    </w:p>
    <w:p w14:paraId="1C37255A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</w:p>
    <w:p w14:paraId="0AA0BC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-&gt;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</w:t>
      </w:r>
    </w:p>
    <w:p w14:paraId="537896EF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</w:p>
    <w:p w14:paraId="5443361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</w:p>
    <w:p w14:paraId="317E5C48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2NF</w:t>
      </w:r>
    </w:p>
    <w:p w14:paraId="57A706C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freight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3DBBEB3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list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>,</w:t>
      </w:r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>)</w:t>
      </w:r>
    </w:p>
    <w:p w14:paraId="6D3B7E89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agent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approval, </w:t>
      </w:r>
      <w:proofErr w:type="gramStart"/>
      <w:r w:rsidRPr="00D245C5">
        <w:rPr>
          <w:rStyle w:val="md-plain"/>
          <w:rFonts w:ascii="Nunito" w:eastAsiaTheme="majorEastAsia" w:hAnsi="Nunito"/>
        </w:rPr>
        <w:t>direction )</w:t>
      </w:r>
      <w:proofErr w:type="gramEnd"/>
    </w:p>
    <w:p w14:paraId="1E723AA5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targetInfo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1F407C92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vechicleInfo</w:t>
      </w:r>
      <w:proofErr w:type="spellEnd"/>
      <w:r w:rsidRPr="00D245C5">
        <w:rPr>
          <w:rStyle w:val="md-plain"/>
          <w:rFonts w:ascii="Nunito" w:eastAsiaTheme="majorEastAsia" w:hAnsi="Nunito"/>
        </w:rPr>
        <w:t>(</w:t>
      </w:r>
      <w:proofErr w:type="spellStart"/>
      <w:proofErr w:type="gramEnd"/>
      <w:r w:rsidRPr="00D245C5">
        <w:rPr>
          <w:rStyle w:val="md-plain"/>
          <w:rFonts w:ascii="Nunito" w:eastAsiaTheme="majorEastAsia" w:hAnsi="Nunito"/>
          <w:u w:val="single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23A1BDF0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</w:rPr>
      </w:pPr>
    </w:p>
    <w:p w14:paraId="07F7C276" w14:textId="4CB4737B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lastRenderedPageBreak/>
        <w:t xml:space="preserve">For 3NF, </w:t>
      </w:r>
      <w:proofErr w:type="gramStart"/>
      <w:r w:rsidRPr="00D245C5">
        <w:rPr>
          <w:rStyle w:val="md-plain"/>
          <w:rFonts w:ascii="Nunito" w:eastAsiaTheme="majorEastAsia" w:hAnsi="Nunito"/>
        </w:rPr>
        <w:t>There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should be no </w:t>
      </w:r>
      <w:r>
        <w:rPr>
          <w:rStyle w:val="md-plain"/>
          <w:rFonts w:ascii="Nunito" w:eastAsiaTheme="majorEastAsia" w:hAnsi="Nunito"/>
        </w:rPr>
        <w:t>transitive</w:t>
      </w:r>
      <w:r w:rsidRPr="00D245C5">
        <w:rPr>
          <w:rStyle w:val="md-plain"/>
          <w:rFonts w:ascii="Nunito" w:eastAsiaTheme="majorEastAsia" w:hAnsi="Nunito"/>
        </w:rPr>
        <w:t xml:space="preserve"> Dependency.</w:t>
      </w:r>
    </w:p>
    <w:p w14:paraId="61D868FC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Transitive Dependency</w:t>
      </w:r>
    </w:p>
    <w:p w14:paraId="46406A08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</w:p>
    <w:p w14:paraId="3030909F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</w:p>
    <w:p w14:paraId="5228E3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</w:t>
      </w:r>
    </w:p>
    <w:p w14:paraId="05B8FB1C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 xml:space="preserve">3NF </w:t>
      </w:r>
    </w:p>
    <w:p w14:paraId="2486126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frieght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467CB9DB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freightType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  <w:u w:val="single"/>
        </w:rPr>
        <w:t>freighttypeID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39F2E87E" w14:textId="59BF0982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historicalFreight</w:t>
      </w:r>
      <w:proofErr w:type="spellEnd"/>
      <w:r>
        <w:rPr>
          <w:rStyle w:val="md-plain"/>
          <w:rFonts w:ascii="Nunito" w:eastAsiaTheme="majorEastAsia" w:hAnsi="Nunito"/>
        </w:rPr>
        <w:t xml:space="preserve"> </w:t>
      </w:r>
      <w:r w:rsidRPr="00D245C5">
        <w:rPr>
          <w:rStyle w:val="md-plain"/>
          <w:rFonts w:ascii="Nunito" w:eastAsiaTheme="majorEastAsia" w:hAnsi="Nunito"/>
        </w:rPr>
        <w:t>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proofErr w:type="gramStart"/>
      <w:r w:rsidRPr="00D245C5">
        <w:rPr>
          <w:rStyle w:val="md-plain"/>
          <w:rFonts w:ascii="Nunito" w:eastAsiaTheme="majorEastAsia" w:hAnsi="Nunito"/>
        </w:rPr>
        <w:t>, )</w:t>
      </w:r>
      <w:proofErr w:type="gramEnd"/>
    </w:p>
    <w:p w14:paraId="36CDECC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agent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gramStart"/>
      <w:r w:rsidRPr="00D245C5">
        <w:rPr>
          <w:rStyle w:val="md-plain"/>
          <w:rFonts w:ascii="Nunito" w:eastAsiaTheme="majorEastAsia" w:hAnsi="Nunito"/>
        </w:rPr>
        <w:t>Specialisation )</w:t>
      </w:r>
      <w:proofErr w:type="gramEnd"/>
    </w:p>
    <w:p w14:paraId="1500B728" w14:textId="41BF0F69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request</w:t>
      </w:r>
      <w:r>
        <w:rPr>
          <w:rStyle w:val="md-plain"/>
          <w:rFonts w:ascii="Nunito" w:eastAsiaTheme="majorEastAsia" w:hAnsi="Nunito"/>
        </w:rPr>
        <w:t xml:space="preserve"> </w:t>
      </w:r>
      <w:r w:rsidRPr="00D245C5">
        <w:rPr>
          <w:rStyle w:val="md-plain"/>
          <w:rFonts w:ascii="Nunito" w:eastAsiaTheme="majorEastAsia" w:hAnsi="Nunito"/>
        </w:rPr>
        <w:t>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direction)</w:t>
      </w:r>
    </w:p>
    <w:p w14:paraId="577F237D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targetInfo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438167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vechicleInfo</w:t>
      </w:r>
      <w:proofErr w:type="spellEnd"/>
      <w:r w:rsidRPr="00D245C5">
        <w:rPr>
          <w:rStyle w:val="md-plain"/>
          <w:rFonts w:ascii="Nunito" w:eastAsiaTheme="majorEastAsia" w:hAnsi="Nunito"/>
        </w:rPr>
        <w:t>(</w:t>
      </w:r>
      <w:proofErr w:type="spellStart"/>
      <w:proofErr w:type="gramEnd"/>
      <w:r w:rsidRPr="00D245C5">
        <w:rPr>
          <w:rStyle w:val="md-plain"/>
          <w:rFonts w:ascii="Nunito" w:eastAsiaTheme="majorEastAsia" w:hAnsi="Nunito"/>
          <w:u w:val="single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5678D554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list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>,</w:t>
      </w:r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>)</w:t>
      </w:r>
    </w:p>
    <w:p w14:paraId="256669A2" w14:textId="77777777" w:rsidR="006201E7" w:rsidRPr="00D245C5" w:rsidRDefault="006201E7"/>
    <w:sectPr w:rsidR="006201E7" w:rsidRPr="00D245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5"/>
    <w:rsid w:val="006201E7"/>
    <w:rsid w:val="00D245C5"/>
    <w:rsid w:val="00E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6C1"/>
  <w15:chartTrackingRefBased/>
  <w15:docId w15:val="{84D89ACE-E18B-4348-AEAE-DACF85B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d-end-block">
    <w:name w:val="md-end-block"/>
    <w:basedOn w:val="Normal"/>
    <w:rsid w:val="00D2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2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1</cp:revision>
  <dcterms:created xsi:type="dcterms:W3CDTF">2022-01-18T09:00:00Z</dcterms:created>
  <dcterms:modified xsi:type="dcterms:W3CDTF">2022-01-18T09:03:00Z</dcterms:modified>
</cp:coreProperties>
</file>