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200"/>
        <w:jc w:val="center"/>
      </w:pPr>
      <w:r>
        <w:rPr>
          <w:b/>
          <w:i w:val="0"/>
          <w:sz w:val="36"/>
        </w:rPr>
        <w:t>K-HALO: Korea Healthy Ageing and Longevity District Panel, 2008–2025</w:t>
      </w:r>
    </w:p>
    <w:p>
      <w:pPr>
        <w:spacing w:after="600"/>
        <w:jc w:val="center"/>
      </w:pPr>
      <w:r>
        <w:rPr>
          <w:b w:val="0"/>
          <w:i/>
          <w:sz w:val="24"/>
        </w:rPr>
        <w:t>An AI-ready longitudinal dataset of small-area health behaviours, chronic disease, preventive care and healthy life expectancy in a super-aged society</w:t>
      </w:r>
    </w:p>
    <w:p>
      <w:pPr>
        <w:spacing w:after="40"/>
        <w:jc w:val="center"/>
      </w:pPr>
      <w:r>
        <w:rPr>
          <w:b/>
          <w:i w:val="0"/>
          <w:sz w:val="24"/>
        </w:rPr>
        <w:t>Soonryeo Seo</w:t>
      </w:r>
    </w:p>
    <w:p>
      <w:pPr>
        <w:spacing w:after="40"/>
        <w:jc w:val="center"/>
      </w:pPr>
      <w:r>
        <w:rPr>
          <w:b w:val="0"/>
          <w:i w:val="0"/>
          <w:sz w:val="22"/>
        </w:rPr>
        <w:t>Independent researcher, Seoul, Republic of Korea</w:t>
      </w:r>
    </w:p>
    <w:p>
      <w:pPr>
        <w:spacing w:after="600"/>
        <w:jc w:val="center"/>
      </w:pPr>
      <w:r>
        <w:rPr>
          <w:b w:val="0"/>
          <w:i w:val="0"/>
          <w:sz w:val="22"/>
        </w:rPr>
        <w:t>Contact: contact@example.com</w:t>
      </w:r>
    </w:p>
    <w:p>
      <w:pPr>
        <w:spacing w:after="80"/>
        <w:jc w:val="center"/>
      </w:pPr>
      <w:r>
        <w:rPr>
          <w:b w:val="0"/>
          <w:i w:val="0"/>
          <w:sz w:val="21"/>
        </w:rPr>
        <w:t>IEEE AgeTech Global Dataset Competition 2026 — Theme 1: Health &amp; Well-Being (chronic disease management; preventive healthcare and wellness)</w:t>
      </w:r>
    </w:p>
    <w:p>
      <w:pPr>
        <w:jc w:val="center"/>
      </w:pPr>
      <w:r>
        <w:rPr>
          <w:b w:val="0"/>
          <w:i w:val="0"/>
          <w:sz w:val="21"/>
        </w:rPr>
        <w:t>Dataset version 1.0 · Licence CC BY 4.0 · Formats CSV, SQLite, Croissant JSON-LD</w:t>
      </w:r>
    </w:p>
    <w:p>
      <w:r>
        <w:br w:type="page"/>
      </w:r>
    </w:p>
    <w:p>
      <w:pPr>
        <w:pStyle w:val="Heading1"/>
      </w:pPr>
      <w:r>
        <w:t>1. Abstract</w:t>
      </w:r>
    </w:p>
    <w:p>
      <w:r>
        <w:rPr>
          <w:b w:val="0"/>
          <w:i w:val="0"/>
        </w:rPr>
        <w:t>K-HALO is an openly licensed, English-documented panel that follows every Community Health Survey (CHS) area of South Korea — 281 health-centre areas, of which 245 form a non-overlapping national benchmark set — over 18 years (2008–2025). It contains 154,691 crude and age-standardised values of 41 indicators covering smoking, alcohol, physical activity, obesity, mental health, oral health (including chewing difficulty among adults aged 65+), hypertension and diabetes (diagnosis, treatment and complication screening), preventive care, unmet medical need and self-rated health. Each area is linked to life expectancy and healthy life expectancy (HLE; 2017–2023), an area deprivation index and its older-adult population. All values are aggregate official statistics, so the dataset contains no personal information. Within published years, 99.97% of benchmark cells are complete. We define three reproducible benchmark tasks — next-year forecasting of ten ageing-related indicators, HLE regression with leave-one-province-out validation, and an equity audit across deprivation quintiles — and report baselines: a ridge model improves on persistence by 14% on average, explains 0.51 of between-district HLE variance, and forecasting error in the most deprived fifth of areas is 27% higher than in the least deprived fifth. K-HALO gives AgeTech researchers a ready testbed for small-area forecasting, healthy-longevity modelling and fairness evaluation in the world's fastest-ageing population.</w:t>
      </w:r>
    </w:p>
    <w:p>
      <w:pPr>
        <w:pStyle w:val="Heading1"/>
      </w:pPr>
      <w:r>
        <w:t>2. Motivation</w:t>
      </w:r>
    </w:p>
    <w:p>
      <w:r>
        <w:rPr>
          <w:b w:val="0"/>
          <w:i w:val="0"/>
        </w:rPr>
        <w:t>South Korea crossed the super-aged threshold (20% of residents aged 65+) in December 2024 and is projected to have one of the oldest populations in the world within two decades. Healthy longevity, however, is unevenly distributed: in K-HALO, district HLE ranges from 63.9 to 78.6 years, and in 2023 lower HLE was associated with higher area deprivation (Pearson r = −0.32 across 227 districts; Figure 2). Decisions about where to deploy AgeTech — remote monitoring, preventive programmes, chronic-disease management, community care — are made for places, not only for individuals.</w:t>
      </w:r>
    </w:p>
    <w:p>
      <w:r>
        <w:rPr>
          <w:b w:val="0"/>
          <w:i w:val="0"/>
        </w:rPr>
        <w:t>Most open AgeTech datasets are sensor- or clinic-based samples of tens to hundreds of participants, typically from Western countries. They are essential for device-level AI but cannot tell planners which communities are ageing in poor health, how fast risk factors are changing, or whether an AI model is equally accurate for deprived and affluent areas. Korea publishes rich small-area statistics, but they are scattered across hundreds of Korean-language tables, change format over time, and are rarely used in machine-learning research.</w:t>
      </w:r>
    </w:p>
    <w:p>
      <w:r>
        <w:rPr>
          <w:b w:val="0"/>
          <w:i w:val="0"/>
        </w:rPr>
        <w:t>K-HALO closes this gap by (i) harmonising 18 years of small-area statistics into a stable panel with consistent identifiers, (ii) linking them to healthy life expectancy, deprivation and older-adult population, (iii) documenting every field in English with a datasheet and Croissant metadata, and (iv) defining benchmark tasks with fixed splits, baselines and a built-in equity audit.</w:t>
      </w:r>
    </w:p>
    <w:p>
      <w:pPr>
        <w:pStyle w:val="Heading1"/>
      </w:pPr>
      <w:r>
        <w:t>3. Data Collection</w:t>
      </w:r>
    </w:p>
    <w:p>
      <w:r>
        <w:rPr>
          <w:b w:val="0"/>
          <w:i w:val="0"/>
        </w:rPr>
        <w:t>K-HALO is a secondary compilation; no new data were collected from people. All inputs are official aggregate statistics distributed through KOSIS, the national statistical portal, and were retrieved through the KOSIS Open API in September 2026.</w:t>
      </w:r>
    </w:p>
    <w:tbl>
      <w:tblPr>
        <w:tblStyle w:val="TableGrid"/>
        <w:tblW w:type="auto" w:w="0"/>
        <w:tblLayout w:type="fixed"/>
        <w:tblLook w:firstColumn="1" w:firstRow="1" w:lastColumn="0" w:lastRow="0" w:noHBand="0" w:noVBand="1" w:val="04A0"/>
        <w:tblLayout w:type="fixed"/>
      </w:tblPr>
      <w:tblGrid>
        <w:gridCol w:w="2551"/>
        <w:gridCol w:w="4252"/>
        <w:gridCol w:w="2551"/>
      </w:tblGrid>
      <w:tr>
        <w:tc>
          <w:tcPr>
            <w:tcW w:type="dxa" w:w="2551"/>
          </w:tcPr>
          <w:p>
            <w:r/>
            <w:r>
              <w:rPr>
                <w:b/>
                <w:sz w:val="18"/>
              </w:rPr>
              <w:t>Source</w:t>
            </w:r>
          </w:p>
        </w:tc>
        <w:tc>
          <w:tcPr>
            <w:tcW w:type="dxa" w:w="4252"/>
          </w:tcPr>
          <w:p>
            <w:r/>
            <w:r>
              <w:rPr>
                <w:b/>
                <w:sz w:val="18"/>
              </w:rPr>
              <w:t>Collection</w:t>
            </w:r>
          </w:p>
        </w:tc>
        <w:tc>
          <w:tcPr>
            <w:tcW w:type="dxa" w:w="2551"/>
          </w:tcPr>
          <w:p>
            <w:r/>
            <w:r>
              <w:rPr>
                <w:b/>
                <w:sz w:val="18"/>
              </w:rPr>
              <w:t>Used for</w:t>
            </w:r>
          </w:p>
        </w:tc>
      </w:tr>
      <w:tr>
        <w:tc>
          <w:tcPr>
            <w:tcW w:type="dxa" w:w="2551"/>
          </w:tcPr>
          <w:p>
            <w:r/>
            <w:r>
              <w:rPr>
                <w:sz w:val="18"/>
              </w:rPr>
              <w:t>Community Health Survey (KDCA)</w:t>
            </w:r>
          </w:p>
        </w:tc>
        <w:tc>
          <w:tcPr>
            <w:tcW w:type="dxa" w:w="4252"/>
          </w:tcPr>
          <w:p>
            <w:r/>
            <w:r>
              <w:rPr>
                <w:sz w:val="18"/>
              </w:rPr>
              <w:t>Annual, 2008–2025; ≈230,000 adults/year, ≈900 per health-centre area; face-to-face interviews; area-level crude and age-standardised rates</w:t>
            </w:r>
          </w:p>
        </w:tc>
        <w:tc>
          <w:tcPr>
            <w:tcW w:type="dxa" w:w="2551"/>
          </w:tcPr>
          <w:p>
            <w:r/>
            <w:r>
              <w:rPr>
                <w:sz w:val="18"/>
              </w:rPr>
              <w:t>41 indicators (chs_panel_*.csv)</w:t>
            </w:r>
          </w:p>
        </w:tc>
      </w:tr>
      <w:tr>
        <w:tc>
          <w:tcPr>
            <w:tcW w:type="dxa" w:w="2551"/>
          </w:tcPr>
          <w:p>
            <w:r/>
            <w:r>
              <w:rPr>
                <w:sz w:val="18"/>
              </w:rPr>
              <w:t>Cause-of-death statistics (Statistics Korea)</w:t>
            </w:r>
          </w:p>
        </w:tc>
        <w:tc>
          <w:tcPr>
            <w:tcW w:type="dxa" w:w="4252"/>
          </w:tcPr>
          <w:p>
            <w:r/>
            <w:r>
              <w:rPr>
                <w:sz w:val="18"/>
              </w:rPr>
              <w:t>Deaths by district, sex and 5-year age group</w:t>
            </w:r>
          </w:p>
        </w:tc>
        <w:tc>
          <w:tcPr>
            <w:tcW w:type="dxa" w:w="2551"/>
          </w:tcPr>
          <w:p>
            <w:r/>
            <w:r>
              <w:rPr>
                <w:sz w:val="18"/>
              </w:rPr>
              <w:t>Life tables → life expectancy (hle.csv)</w:t>
            </w:r>
          </w:p>
        </w:tc>
      </w:tr>
      <w:tr>
        <w:tc>
          <w:tcPr>
            <w:tcW w:type="dxa" w:w="2551"/>
          </w:tcPr>
          <w:p>
            <w:r/>
            <w:r>
              <w:rPr>
                <w:sz w:val="18"/>
              </w:rPr>
              <w:t>Resident registration population (MOIS / Statistics Korea)</w:t>
            </w:r>
          </w:p>
        </w:tc>
        <w:tc>
          <w:tcPr>
            <w:tcW w:type="dxa" w:w="4252"/>
          </w:tcPr>
          <w:p>
            <w:r/>
            <w:r>
              <w:rPr>
                <w:sz w:val="18"/>
              </w:rPr>
              <w:t>Mid-year population by district and 5-year age</w:t>
            </w:r>
          </w:p>
        </w:tc>
        <w:tc>
          <w:tcPr>
            <w:tcW w:type="dxa" w:w="2551"/>
          </w:tcPr>
          <w:p>
            <w:r/>
            <w:r>
              <w:rPr>
                <w:sz w:val="18"/>
              </w:rPr>
              <w:t>Life tables; older-adult counts (population_age.csv)</w:t>
            </w:r>
          </w:p>
        </w:tc>
      </w:tr>
      <w:tr>
        <w:tc>
          <w:tcPr>
            <w:tcW w:type="dxa" w:w="2551"/>
          </w:tcPr>
          <w:p>
            <w:r/>
            <w:r>
              <w:rPr>
                <w:sz w:val="18"/>
              </w:rPr>
              <w:t>Population and Housing Census (Statistics Korea)</w:t>
            </w:r>
          </w:p>
        </w:tc>
        <w:tc>
          <w:tcPr>
            <w:tcW w:type="dxa" w:w="4252"/>
          </w:tcPr>
          <w:p>
            <w:r/>
            <w:r>
              <w:rPr>
                <w:sz w:val="18"/>
              </w:rPr>
              <w:t>2020 district aggregates of education, occupation, household and housing</w:t>
            </w:r>
          </w:p>
        </w:tc>
        <w:tc>
          <w:tcPr>
            <w:tcW w:type="dxa" w:w="2551"/>
          </w:tcPr>
          <w:p>
            <w:r/>
            <w:r>
              <w:rPr>
                <w:sz w:val="18"/>
              </w:rPr>
              <w:t>Deprivation index (deprivation.csv)</w:t>
            </w:r>
          </w:p>
        </w:tc>
      </w:tr>
    </w:tbl>
    <w:p>
      <w:pPr>
        <w:spacing w:after="40"/>
      </w:pPr>
    </w:p>
    <w:p>
      <w:pPr>
        <w:spacing w:after="120"/>
      </w:pPr>
      <w:r>
        <w:rPr>
          <w:b w:val="0"/>
          <w:i/>
          <w:sz w:val="19"/>
        </w:rPr>
        <w:t>Table 1. Data sources. Devices, sensors and recruitment are not applicable: the CHS uses probability sampling of households by trained interviewers, and K-HALO uses only its published area estimates.</w:t>
      </w:r>
    </w:p>
    <w:p>
      <w:pPr>
        <w:pStyle w:val="Heading2"/>
      </w:pPr>
      <w:r>
        <w:t>3.1 Collection methodology</w:t>
      </w:r>
    </w:p>
    <w:p>
      <w:pPr>
        <w:pStyle w:val="ListBullet"/>
        <w:spacing w:after="20"/>
      </w:pPr>
      <w:r>
        <w:rPr>
          <w:b/>
        </w:rPr>
        <w:t>Selection.</w:t>
      </w:r>
      <w:r>
        <w:t xml:space="preserve"> An inventory of 206 KOSIS tables was screened automatically for coverage (years, areas, missingness). Of 87 CHS tables, 55 passed and 32 were flagged (mostly discontinued series); none failed. The 41 indicators still published by KDCA were retained.</w:t>
      </w:r>
    </w:p>
    <w:p>
      <w:pPr>
        <w:pStyle w:val="ListBullet"/>
        <w:spacing w:after="20"/>
      </w:pPr>
      <w:r>
        <w:rPr>
          <w:b/>
        </w:rPr>
        <w:t>Harmonisation.</w:t>
      </w:r>
      <w:r>
        <w:t xml:space="preserve"> Areas follow the CHS sampling units (health-centre areas). Administrative changes (city mergers, new health centres) are recorded with status, first and last year; Statistics Korea 2018 district codes are provided for linkage to other data.</w:t>
      </w:r>
    </w:p>
    <w:p>
      <w:pPr>
        <w:pStyle w:val="ListBullet"/>
        <w:spacing w:after="20"/>
      </w:pPr>
      <w:r>
        <w:rPr>
          <w:b/>
        </w:rPr>
        <w:t>Life expectancy and HLE.</w:t>
      </w:r>
      <w:r>
        <w:t xml:space="preserve"> District abridged life tables were built from 3-year pooled deaths and population with Chiang's method (age groups 0–4 … 85+; areas with &lt;150 deaths in the window are not estimated). HLE uses the Sullivan method: the national age-specific unhealthy share is back-calculated from Statistics Korea's official subjective-health HLE, and each area's curve is shifted by the odds ratio of its 3-year mean self-rated health. Re-computed national HLE matches the official value to 0.1 year in all seven published years (2012–2024).</w:t>
      </w:r>
    </w:p>
    <w:p>
      <w:pPr>
        <w:pStyle w:val="ListBullet"/>
        <w:spacing w:after="20"/>
      </w:pPr>
      <w:r>
        <w:rPr>
          <w:b/>
        </w:rPr>
        <w:t>Deprivation.</w:t>
      </w:r>
      <w:r>
        <w:t xml:space="preserve"> A reproduction of the Korean area deprivation index (Kim et al., 2013): z-scores of seven 2020 census variables (low education, aged 65+, low-skill occupation, one-person households, non-apartment housing, female-headed households, divorced/widowed) are summed; car ownership and substandard housing were unavailable.</w:t>
      </w:r>
    </w:p>
    <w:p>
      <w:pPr>
        <w:pStyle w:val="Heading1"/>
      </w:pPr>
      <w:r>
        <w:t>4. Dataset Characteristics</w:t>
      </w:r>
    </w:p>
    <w:tbl>
      <w:tblPr>
        <w:tblStyle w:val="TableGrid"/>
        <w:tblW w:type="auto" w:w="0"/>
        <w:tblLayout w:type="fixed"/>
        <w:tblLook w:firstColumn="1" w:firstRow="1" w:lastColumn="0" w:lastRow="0" w:noHBand="0" w:noVBand="1" w:val="04A0"/>
        <w:tblLayout w:type="fixed"/>
      </w:tblPr>
      <w:tblGrid>
        <w:gridCol w:w="2041"/>
        <w:gridCol w:w="7314"/>
      </w:tblGrid>
      <w:tr>
        <w:tc>
          <w:tcPr>
            <w:tcW w:type="dxa" w:w="2041"/>
          </w:tcPr>
          <w:p>
            <w:r/>
            <w:r>
              <w:rPr>
                <w:b/>
                <w:sz w:val="18"/>
              </w:rPr>
              <w:t>Property</w:t>
            </w:r>
          </w:p>
        </w:tc>
        <w:tc>
          <w:tcPr>
            <w:tcW w:type="dxa" w:w="7313"/>
          </w:tcPr>
          <w:p>
            <w:r/>
            <w:r>
              <w:rPr>
                <w:b/>
                <w:sz w:val="18"/>
              </w:rPr>
              <w:t>Value</w:t>
            </w:r>
          </w:p>
        </w:tc>
      </w:tr>
      <w:tr>
        <w:tc>
          <w:tcPr>
            <w:tcW w:type="dxa" w:w="2041"/>
          </w:tcPr>
          <w:p>
            <w:r/>
            <w:r>
              <w:rPr>
                <w:sz w:val="18"/>
              </w:rPr>
              <w:t>Spatial units</w:t>
            </w:r>
          </w:p>
        </w:tc>
        <w:tc>
          <w:tcPr>
            <w:tcW w:type="dxa" w:w="7313"/>
          </w:tcPr>
          <w:p>
            <w:r/>
            <w:r>
              <w:rPr>
                <w:sz w:val="18"/>
              </w:rPr>
              <w:t>281 health-centre areas (235 districts, 46 sub-districts); benchmark set 245 (74 metropolitan, 84 urban, 76 rural, 11 mixed)</w:t>
            </w:r>
          </w:p>
        </w:tc>
      </w:tr>
      <w:tr>
        <w:tc>
          <w:tcPr>
            <w:tcW w:type="dxa" w:w="2041"/>
          </w:tcPr>
          <w:p>
            <w:r/>
            <w:r>
              <w:rPr>
                <w:sz w:val="18"/>
              </w:rPr>
              <w:t>Time span</w:t>
            </w:r>
          </w:p>
        </w:tc>
        <w:tc>
          <w:tcPr>
            <w:tcW w:type="dxa" w:w="7313"/>
          </w:tcPr>
          <w:p>
            <w:r/>
            <w:r>
              <w:rPr>
                <w:sz w:val="18"/>
              </w:rPr>
              <w:t>2008–2025 (18 survey years); HLE 2017–2023; deprivation 2020; population 2024</w:t>
            </w:r>
          </w:p>
        </w:tc>
      </w:tr>
      <w:tr>
        <w:tc>
          <w:tcPr>
            <w:tcW w:type="dxa" w:w="2041"/>
          </w:tcPr>
          <w:p>
            <w:r/>
            <w:r>
              <w:rPr>
                <w:sz w:val="18"/>
              </w:rPr>
              <w:t>Indicators</w:t>
            </w:r>
          </w:p>
        </w:tc>
        <w:tc>
          <w:tcPr>
            <w:tcW w:type="dxa" w:w="7313"/>
          </w:tcPr>
          <w:p>
            <w:r/>
            <w:r>
              <w:rPr>
                <w:sz w:val="18"/>
              </w:rPr>
              <w:t>41 indicators in 9 domains; crude and age-standardised rate (%), direction flag (higher is worse)</w:t>
            </w:r>
          </w:p>
        </w:tc>
      </w:tr>
      <w:tr>
        <w:tc>
          <w:tcPr>
            <w:tcW w:type="dxa" w:w="2041"/>
          </w:tcPr>
          <w:p>
            <w:r/>
            <w:r>
              <w:rPr>
                <w:sz w:val="18"/>
              </w:rPr>
              <w:t>Samples</w:t>
            </w:r>
          </w:p>
        </w:tc>
        <w:tc>
          <w:tcPr>
            <w:tcW w:type="dxa" w:w="7313"/>
          </w:tcPr>
          <w:p>
            <w:r/>
            <w:r>
              <w:rPr>
                <w:sz w:val="18"/>
              </w:rPr>
              <w:t>154,691 unit-year-indicator values; 4,878 unit-years in the wide ML file; 1,763 HLE unit-years</w:t>
            </w:r>
          </w:p>
        </w:tc>
      </w:tr>
      <w:tr>
        <w:tc>
          <w:tcPr>
            <w:tcW w:type="dxa" w:w="2041"/>
          </w:tcPr>
          <w:p>
            <w:r/>
            <w:r>
              <w:rPr>
                <w:sz w:val="18"/>
              </w:rPr>
              <w:t>Participants</w:t>
            </w:r>
          </w:p>
        </w:tc>
        <w:tc>
          <w:tcPr>
            <w:tcW w:type="dxa" w:w="7313"/>
          </w:tcPr>
          <w:p>
            <w:r/>
            <w:r>
              <w:rPr>
                <w:sz w:val="18"/>
              </w:rPr>
              <w:t>Not applicable (aggregate data); underlying survey ≈230,000 adults per year</w:t>
            </w:r>
          </w:p>
        </w:tc>
      </w:tr>
      <w:tr>
        <w:tc>
          <w:tcPr>
            <w:tcW w:type="dxa" w:w="2041"/>
          </w:tcPr>
          <w:p>
            <w:r/>
            <w:r>
              <w:rPr>
                <w:sz w:val="18"/>
              </w:rPr>
              <w:t>Labels / targets</w:t>
            </w:r>
          </w:p>
        </w:tc>
        <w:tc>
          <w:tcPr>
            <w:tcW w:type="dxa" w:w="7313"/>
          </w:tcPr>
          <w:p>
            <w:r/>
            <w:r>
              <w:rPr>
                <w:sz w:val="18"/>
              </w:rPr>
              <w:t>Task-defined: next-year rate (T1), HLE (T2), deprivation quintile for stratified evaluation (T3)</w:t>
            </w:r>
          </w:p>
        </w:tc>
      </w:tr>
      <w:tr>
        <w:tc>
          <w:tcPr>
            <w:tcW w:type="dxa" w:w="2041"/>
          </w:tcPr>
          <w:p>
            <w:r/>
            <w:r>
              <w:rPr>
                <w:sz w:val="18"/>
              </w:rPr>
              <w:t>File formats</w:t>
            </w:r>
          </w:p>
        </w:tc>
        <w:tc>
          <w:tcPr>
            <w:tcW w:type="dxa" w:w="7313"/>
          </w:tcPr>
          <w:p>
            <w:r/>
            <w:r>
              <w:rPr>
                <w:sz w:val="18"/>
              </w:rPr>
              <w:t>CSV (UTF-8, long and wide), SQLite, Croissant 1.0 JSON-LD, data dictionary CSV, Markdown datasheet</w:t>
            </w:r>
          </w:p>
        </w:tc>
      </w:tr>
    </w:tbl>
    <w:p>
      <w:pPr>
        <w:spacing w:after="40"/>
      </w:pPr>
    </w:p>
    <w:p>
      <w:pPr>
        <w:spacing w:after="120"/>
      </w:pPr>
      <w:r>
        <w:rPr>
          <w:b w:val="0"/>
          <w:i/>
          <w:sz w:val="19"/>
        </w:rPr>
        <w:t>Table 2. Dataset summary.</w:t>
      </w:r>
    </w:p>
    <w:tbl>
      <w:tblPr>
        <w:tblStyle w:val="TableGrid"/>
        <w:tblW w:type="auto" w:w="0"/>
        <w:tblLayout w:type="fixed"/>
        <w:tblLook w:firstColumn="1" w:firstRow="1" w:lastColumn="0" w:lastRow="0" w:noHBand="0" w:noVBand="1" w:val="04A0"/>
        <w:tblLayout w:type="fixed"/>
      </w:tblPr>
      <w:tblGrid>
        <w:gridCol w:w="1927"/>
        <w:gridCol w:w="567"/>
        <w:gridCol w:w="6860"/>
      </w:tblGrid>
      <w:tr>
        <w:tc>
          <w:tcPr>
            <w:tcW w:type="dxa" w:w="1928"/>
          </w:tcPr>
          <w:p>
            <w:r/>
            <w:r>
              <w:rPr>
                <w:b/>
                <w:sz w:val="17"/>
              </w:rPr>
              <w:t>Domain</w:t>
            </w:r>
          </w:p>
        </w:tc>
        <w:tc>
          <w:tcPr>
            <w:tcW w:type="dxa" w:w="567"/>
          </w:tcPr>
          <w:p>
            <w:r/>
            <w:r>
              <w:rPr>
                <w:b/>
                <w:sz w:val="17"/>
              </w:rPr>
              <w:t>n</w:t>
            </w:r>
          </w:p>
        </w:tc>
        <w:tc>
          <w:tcPr>
            <w:tcW w:type="dxa" w:w="6860"/>
          </w:tcPr>
          <w:p>
            <w:r/>
            <w:r>
              <w:rPr>
                <w:b/>
                <w:sz w:val="17"/>
              </w:rPr>
              <w:t>Example indicators</w:t>
            </w:r>
          </w:p>
        </w:tc>
      </w:tr>
      <w:tr>
        <w:tc>
          <w:tcPr>
            <w:tcW w:type="dxa" w:w="1928"/>
          </w:tcPr>
          <w:p>
            <w:r/>
            <w:r>
              <w:rPr>
                <w:sz w:val="17"/>
              </w:rPr>
              <w:t>Alcohol</w:t>
            </w:r>
          </w:p>
        </w:tc>
        <w:tc>
          <w:tcPr>
            <w:tcW w:type="dxa" w:w="567"/>
          </w:tcPr>
          <w:p>
            <w:r/>
            <w:r>
              <w:rPr>
                <w:sz w:val="17"/>
              </w:rPr>
              <w:t>4</w:t>
            </w:r>
          </w:p>
        </w:tc>
        <w:tc>
          <w:tcPr>
            <w:tcW w:type="dxa" w:w="6860"/>
          </w:tcPr>
          <w:p>
            <w:r/>
            <w:r>
              <w:rPr>
                <w:sz w:val="17"/>
              </w:rPr>
              <w:t>Monthly drinking rate; High-risk drinking rate; High-risk drinking rate among annual drinkers</w:t>
            </w:r>
          </w:p>
        </w:tc>
      </w:tr>
      <w:tr>
        <w:tc>
          <w:tcPr>
            <w:tcW w:type="dxa" w:w="1928"/>
          </w:tcPr>
          <w:p>
            <w:r/>
            <w:r>
              <w:rPr>
                <w:sz w:val="17"/>
              </w:rPr>
              <w:t>Chronic disease</w:t>
            </w:r>
          </w:p>
        </w:tc>
        <w:tc>
          <w:tcPr>
            <w:tcW w:type="dxa" w:w="567"/>
          </w:tcPr>
          <w:p>
            <w:r/>
            <w:r>
              <w:rPr>
                <w:sz w:val="17"/>
              </w:rPr>
              <w:t>10</w:t>
            </w:r>
          </w:p>
        </w:tc>
        <w:tc>
          <w:tcPr>
            <w:tcW w:type="dxa" w:w="6860"/>
          </w:tcPr>
          <w:p>
            <w:r/>
            <w:r>
              <w:rPr>
                <w:sz w:val="17"/>
              </w:rPr>
              <w:t>Physician-diagnosed hypertension prevalence; Hypertension treatment rate among diagnosed; Physician-diagnosed diabetes prevalence</w:t>
            </w:r>
          </w:p>
        </w:tc>
      </w:tr>
      <w:tr>
        <w:tc>
          <w:tcPr>
            <w:tcW w:type="dxa" w:w="1928"/>
          </w:tcPr>
          <w:p>
            <w:r/>
            <w:r>
              <w:rPr>
                <w:sz w:val="17"/>
              </w:rPr>
              <w:t>Diet &amp; obesity</w:t>
            </w:r>
          </w:p>
        </w:tc>
        <w:tc>
          <w:tcPr>
            <w:tcW w:type="dxa" w:w="567"/>
          </w:tcPr>
          <w:p>
            <w:r/>
            <w:r>
              <w:rPr>
                <w:sz w:val="17"/>
              </w:rPr>
              <w:t>4</w:t>
            </w:r>
          </w:p>
        </w:tc>
        <w:tc>
          <w:tcPr>
            <w:tcW w:type="dxa" w:w="6860"/>
          </w:tcPr>
          <w:p>
            <w:r/>
            <w:r>
              <w:rPr>
                <w:sz w:val="17"/>
              </w:rPr>
              <w:t>Obesity prevalence (self-reported BMI&gt;=25); Weight control attempt rate; Breakfast practice rate</w:t>
            </w:r>
          </w:p>
        </w:tc>
      </w:tr>
      <w:tr>
        <w:tc>
          <w:tcPr>
            <w:tcW w:type="dxa" w:w="1928"/>
          </w:tcPr>
          <w:p>
            <w:r/>
            <w:r>
              <w:rPr>
                <w:sz w:val="17"/>
              </w:rPr>
              <w:t>Health care use</w:t>
            </w:r>
          </w:p>
        </w:tc>
        <w:tc>
          <w:tcPr>
            <w:tcW w:type="dxa" w:w="567"/>
          </w:tcPr>
          <w:p>
            <w:r/>
            <w:r>
              <w:rPr>
                <w:sz w:val="17"/>
              </w:rPr>
              <w:t>3</w:t>
            </w:r>
          </w:p>
        </w:tc>
        <w:tc>
          <w:tcPr>
            <w:tcW w:type="dxa" w:w="6860"/>
          </w:tcPr>
          <w:p>
            <w:r/>
            <w:r>
              <w:rPr>
                <w:sz w:val="17"/>
              </w:rPr>
              <w:t>Unmet medical need (hospital/clinic) in past year; Public health centre use in past year; Good self-rated health ("very good" or "good")</w:t>
            </w:r>
          </w:p>
        </w:tc>
      </w:tr>
      <w:tr>
        <w:tc>
          <w:tcPr>
            <w:tcW w:type="dxa" w:w="1928"/>
          </w:tcPr>
          <w:p>
            <w:r/>
            <w:r>
              <w:rPr>
                <w:sz w:val="17"/>
              </w:rPr>
              <w:t>Mental health</w:t>
            </w:r>
          </w:p>
        </w:tc>
        <w:tc>
          <w:tcPr>
            <w:tcW w:type="dxa" w:w="567"/>
          </w:tcPr>
          <w:p>
            <w:r/>
            <w:r>
              <w:rPr>
                <w:sz w:val="17"/>
              </w:rPr>
              <w:t>3</w:t>
            </w:r>
          </w:p>
        </w:tc>
        <w:tc>
          <w:tcPr>
            <w:tcW w:type="dxa" w:w="6860"/>
          </w:tcPr>
          <w:p>
            <w:r/>
            <w:r>
              <w:rPr>
                <w:sz w:val="17"/>
              </w:rPr>
              <w:t>Perceived stress rate; Depressive mood experience in past year; Depressive symptom prevalence (PHQ-9&gt;=10)</w:t>
            </w:r>
          </w:p>
        </w:tc>
      </w:tr>
      <w:tr>
        <w:tc>
          <w:tcPr>
            <w:tcW w:type="dxa" w:w="1928"/>
          </w:tcPr>
          <w:p>
            <w:r/>
            <w:r>
              <w:rPr>
                <w:sz w:val="17"/>
              </w:rPr>
              <w:t>Oral health</w:t>
            </w:r>
          </w:p>
        </w:tc>
        <w:tc>
          <w:tcPr>
            <w:tcW w:type="dxa" w:w="567"/>
          </w:tcPr>
          <w:p>
            <w:r/>
            <w:r>
              <w:rPr>
                <w:sz w:val="17"/>
              </w:rPr>
              <w:t>2</w:t>
            </w:r>
          </w:p>
        </w:tc>
        <w:tc>
          <w:tcPr>
            <w:tcW w:type="dxa" w:w="6860"/>
          </w:tcPr>
          <w:p>
            <w:r/>
            <w:r>
              <w:rPr>
                <w:sz w:val="17"/>
              </w:rPr>
              <w:t>Tooth brushing after lunch; Chewing difficulty, older adults</w:t>
            </w:r>
          </w:p>
        </w:tc>
      </w:tr>
      <w:tr>
        <w:tc>
          <w:tcPr>
            <w:tcW w:type="dxa" w:w="1928"/>
          </w:tcPr>
          <w:p>
            <w:r/>
            <w:r>
              <w:rPr>
                <w:sz w:val="17"/>
              </w:rPr>
              <w:t>Physical activity</w:t>
            </w:r>
          </w:p>
        </w:tc>
        <w:tc>
          <w:tcPr>
            <w:tcW w:type="dxa" w:w="567"/>
          </w:tcPr>
          <w:p>
            <w:r/>
            <w:r>
              <w:rPr>
                <w:sz w:val="17"/>
              </w:rPr>
              <w:t>3</w:t>
            </w:r>
          </w:p>
        </w:tc>
        <w:tc>
          <w:tcPr>
            <w:tcW w:type="dxa" w:w="6860"/>
          </w:tcPr>
          <w:p>
            <w:r/>
            <w:r>
              <w:rPr>
                <w:sz w:val="17"/>
              </w:rPr>
              <w:t>Walking practice rate; Moderate-or-vigorous physical activity rate; Healthy lifestyle practice rate (no smoking, moderate drinking, walking)</w:t>
            </w:r>
          </w:p>
        </w:tc>
      </w:tr>
      <w:tr>
        <w:tc>
          <w:tcPr>
            <w:tcW w:type="dxa" w:w="1928"/>
          </w:tcPr>
          <w:p>
            <w:r/>
            <w:r>
              <w:rPr>
                <w:sz w:val="17"/>
              </w:rPr>
              <w:t>Prevention &amp; safety</w:t>
            </w:r>
          </w:p>
        </w:tc>
        <w:tc>
          <w:tcPr>
            <w:tcW w:type="dxa" w:w="567"/>
          </w:tcPr>
          <w:p>
            <w:r/>
            <w:r>
              <w:rPr>
                <w:sz w:val="17"/>
              </w:rPr>
              <w:t>7</w:t>
            </w:r>
          </w:p>
        </w:tc>
        <w:tc>
          <w:tcPr>
            <w:tcW w:type="dxa" w:w="6860"/>
          </w:tcPr>
          <w:p>
            <w:r/>
            <w:r>
              <w:rPr>
                <w:sz w:val="17"/>
              </w:rPr>
              <w:t>Influenza vaccination rate in past year; CPR training experience; CPR awareness</w:t>
            </w:r>
          </w:p>
        </w:tc>
      </w:tr>
      <w:tr>
        <w:tc>
          <w:tcPr>
            <w:tcW w:type="dxa" w:w="1928"/>
          </w:tcPr>
          <w:p>
            <w:r/>
            <w:r>
              <w:rPr>
                <w:sz w:val="17"/>
              </w:rPr>
              <w:t>Smoking</w:t>
            </w:r>
          </w:p>
        </w:tc>
        <w:tc>
          <w:tcPr>
            <w:tcW w:type="dxa" w:w="567"/>
          </w:tcPr>
          <w:p>
            <w:r/>
            <w:r>
              <w:rPr>
                <w:sz w:val="17"/>
              </w:rPr>
              <w:t>5</w:t>
            </w:r>
          </w:p>
        </w:tc>
        <w:tc>
          <w:tcPr>
            <w:tcW w:type="dxa" w:w="6860"/>
          </w:tcPr>
          <w:p>
            <w:r/>
            <w:r>
              <w:rPr>
                <w:sz w:val="17"/>
              </w:rPr>
              <w:t>Current smoking rate; Current smoking rate, men; Current tobacco product use rate (incl. e-cigarettes)</w:t>
            </w:r>
          </w:p>
        </w:tc>
      </w:tr>
    </w:tbl>
    <w:p>
      <w:pPr>
        <w:spacing w:after="40"/>
      </w:pPr>
    </w:p>
    <w:p>
      <w:pPr>
        <w:spacing w:after="120"/>
      </w:pPr>
      <w:r>
        <w:rPr>
          <w:b w:val="0"/>
          <w:i/>
          <w:sz w:val="19"/>
        </w:rPr>
        <w:t>Table 3. Indicator domains (full list with Korean names, denominators and years in indicators.csv and Appendix A).</w:t>
      </w:r>
    </w:p>
    <w:p>
      <w:r>
        <w:rPr>
          <w:b w:val="0"/>
          <w:i w:val="0"/>
        </w:rPr>
        <w:t>Tables are linked by unit_id. The wide file (one row per unit-year, one column per indicator) is directly usable for supervised learning; the long file supports time-series and panel models. Sub-districts carry parent_unit_id so that users can aggregate or join census covariates.</w:t>
      </w:r>
    </w:p>
    <w:p>
      <w:pPr>
        <w:pStyle w:val="Heading1"/>
      </w:pPr>
      <w:r>
        <w:t>5. Data Quality</w:t>
      </w:r>
    </w:p>
    <w:p>
      <w:pPr>
        <w:pStyle w:val="ListBullet"/>
        <w:spacing w:after="20"/>
      </w:pPr>
      <w:r>
        <w:rPr>
          <w:b/>
        </w:rPr>
        <w:t>Missing data.</w:t>
      </w:r>
      <w:r>
        <w:t xml:space="preserve"> No values are imputed. Missing cells occur only where KDCA did not survey an indicator in a given year or an area did not yet exist; within published years 99.97% of benchmark-unit cells are filled (minimum per indicator 99.2%). Figure 1 shows coverage by year.</w:t>
      </w:r>
    </w:p>
    <w:p>
      <w:pPr>
        <w:pStyle w:val="ListBullet"/>
        <w:spacing w:after="20"/>
      </w:pPr>
      <w:r>
        <w:rPr>
          <w:b/>
        </w:rPr>
        <w:t>Validation.</w:t>
      </w:r>
      <w:r>
        <w:t xml:space="preserve"> Range checks found 0 rates outside 0–100%. Crude and age-standardised rates agree closely (r = 0.9869, median absolute difference 1.4 pp). Year-on-year changes larger than 4 SD of each indicator's change distribution affect 0.196% of 143,296 pairs; they are retained and flagged in the QC script because they reflect genuine small-area sampling variation. HLE never exceeds life expectancy (0 violations); LE ranges 79.61–87.55 and HLE 63.87–78.61 years.</w:t>
      </w:r>
    </w:p>
    <w:p>
      <w:pPr>
        <w:pStyle w:val="ListBullet"/>
        <w:spacing w:after="20"/>
      </w:pPr>
      <w:r>
        <w:rPr>
          <w:b/>
        </w:rPr>
        <w:t>Quality assurance.</w:t>
      </w:r>
      <w:r>
        <w:t xml:space="preserve"> Retrieval was validated table by table for year and area coverage (206 KOSIS tables); national HLE re-computation reproduces official statistics; all scripts are deterministic and included (tools/, qc/), so the package can be rebuilt and re-validated.</w:t>
      </w:r>
    </w:p>
    <w:p>
      <w:r>
        <w:drawing>
          <wp:inline xmlns:a="http://schemas.openxmlformats.org/drawingml/2006/main" xmlns:pic="http://schemas.openxmlformats.org/drawingml/2006/picture">
            <wp:extent cx="5220000" cy="4495000"/>
            <wp:docPr id="1" name="Picture 1"/>
            <wp:cNvGraphicFramePr>
              <a:graphicFrameLocks noChangeAspect="1"/>
            </wp:cNvGraphicFramePr>
            <a:graphic>
              <a:graphicData uri="http://schemas.openxmlformats.org/drawingml/2006/picture">
                <pic:pic>
                  <pic:nvPicPr>
                    <pic:cNvPr id="0" name="fig1_coverage.png"/>
                    <pic:cNvPicPr/>
                  </pic:nvPicPr>
                  <pic:blipFill>
                    <a:blip r:embed="rId9"/>
                    <a:stretch>
                      <a:fillRect/>
                    </a:stretch>
                  </pic:blipFill>
                  <pic:spPr>
                    <a:xfrm>
                      <a:off x="0" y="0"/>
                      <a:ext cx="5220000" cy="4495000"/>
                    </a:xfrm>
                    <a:prstGeom prst="rect"/>
                  </pic:spPr>
                </pic:pic>
              </a:graphicData>
            </a:graphic>
          </wp:inline>
        </w:drawing>
      </w:r>
    </w:p>
    <w:p>
      <w:pPr>
        <w:spacing w:after="120"/>
      </w:pPr>
      <w:r>
        <w:rPr>
          <w:b w:val="0"/>
          <w:i/>
          <w:sz w:val="19"/>
        </w:rPr>
        <w:t>Figure 1. Share of the 245 benchmark units with a value, by indicator and year. White cells are years in which KDCA did not field the item.</w:t>
      </w:r>
    </w:p>
    <w:p>
      <w:pPr>
        <w:pStyle w:val="Heading1"/>
      </w:pPr>
      <w:r>
        <w:t>6. Ethical Considerations</w:t>
      </w:r>
    </w:p>
    <w:p>
      <w:pPr>
        <w:pStyle w:val="ListBullet"/>
        <w:spacing w:after="20"/>
      </w:pPr>
      <w:r>
        <w:rPr>
          <w:b/>
        </w:rPr>
        <w:t>Privacy protection.</w:t>
      </w:r>
      <w:r>
        <w:t xml:space="preserve"> K-HALO contains only area-level aggregates already published by government agencies; no individual, household or facility records. Each estimate summarises roughly 900 survey respondents, so re-identification is not possible.</w:t>
      </w:r>
    </w:p>
    <w:p>
      <w:pPr>
        <w:pStyle w:val="ListBullet"/>
        <w:spacing w:after="20"/>
      </w:pPr>
      <w:r>
        <w:rPr>
          <w:b/>
        </w:rPr>
        <w:t>Consent.</w:t>
      </w:r>
      <w:r>
        <w:t xml:space="preserve"> Not applicable to K-HALO. The CHS is a statutory survey under the Regional Public Health Act, conducted by trained interviewers with respondents' agreement; only its published area-level estimates are used. No human-subject contact occurred in compiling K-HALO, so no additional ethics review was required.</w:t>
      </w:r>
    </w:p>
    <w:p>
      <w:pPr>
        <w:pStyle w:val="ListBullet"/>
        <w:spacing w:after="20"/>
      </w:pPr>
      <w:r>
        <w:rPr>
          <w:b/>
        </w:rPr>
        <w:t>Anonymisation.</w:t>
      </w:r>
      <w:r>
        <w:t xml:space="preserve"> Aggregation is the anonymisation step; no small-cell values below the producers' publication thresholds are introduced. Life-table estimates are suppressed for areas with fewer than 150 deaths in three years.</w:t>
      </w:r>
    </w:p>
    <w:p>
      <w:pPr>
        <w:pStyle w:val="ListBullet"/>
        <w:spacing w:after="20"/>
      </w:pPr>
      <w:r>
        <w:rPr>
          <w:b/>
        </w:rPr>
        <w:t>Regulatory compliance and licensing.</w:t>
      </w:r>
      <w:r>
        <w:t xml:space="preserve"> Source data are open under the Korea Open Government Licence Type 1 (attribution); K-HALO is released under CC BY 4.0 with full attribution. Derived HLE and deprivation values are labelled as research estimates, not official statistics.</w:t>
      </w:r>
    </w:p>
    <w:p>
      <w:pPr>
        <w:pStyle w:val="ListBullet"/>
        <w:spacing w:after="20"/>
      </w:pPr>
      <w:r>
        <w:rPr>
          <w:b/>
        </w:rPr>
        <w:t>Bias awareness.</w:t>
      </w:r>
      <w:r>
        <w:t xml:space="preserve"> Survey measures are self-reported; HLE is driven mainly by self-rated health; rural and deprived areas show larger forecast errors (Section 7). The equity audit (T3) is part of the benchmark so that model developers must report subgroup performance. K-HALO must not be used to stigmatise communities; the datasheet lists intended and out-of-scope uses.</w:t>
      </w:r>
    </w:p>
    <w:p>
      <w:pPr>
        <w:pStyle w:val="Heading1"/>
      </w:pPr>
      <w:r>
        <w:t>7. Potential Applications and Benchmark Baselines</w:t>
      </w:r>
    </w:p>
    <w:p>
      <w:r>
        <w:rPr>
          <w:b w:val="0"/>
          <w:i w:val="0"/>
        </w:rPr>
        <w:t>Intended AI and AgeTech use cases include: early warning of rising chronic-disease and risk-factor burden in specific communities; targeting of preventive and remote-monitoring programmes; explaining HLE gaps for healthy-longevity policy; transfer learning and multi-task models for small-area health; and fairness evaluation of public-health AI. Three tasks with fixed splits are provided (benchmarks/).</w:t>
      </w:r>
    </w:p>
    <w:tbl>
      <w:tblPr>
        <w:tblStyle w:val="TableGrid"/>
        <w:tblW w:type="auto" w:w="0"/>
        <w:tblLayout w:type="fixed"/>
        <w:tblLook w:firstColumn="1" w:firstRow="1" w:lastColumn="0" w:lastRow="0" w:noHBand="0" w:noVBand="1" w:val="04A0"/>
        <w:tblLayout w:type="fixed"/>
      </w:tblPr>
      <w:tblGrid>
        <w:gridCol w:w="3005"/>
        <w:gridCol w:w="1474"/>
        <w:gridCol w:w="1587"/>
        <w:gridCol w:w="1474"/>
        <w:gridCol w:w="1814"/>
      </w:tblGrid>
      <w:tr>
        <w:tc>
          <w:tcPr>
            <w:tcW w:type="dxa" w:w="3005"/>
          </w:tcPr>
          <w:p>
            <w:r/>
            <w:r>
              <w:rPr>
                <w:b/>
                <w:sz w:val="17"/>
              </w:rPr>
              <w:t>T1 target (age-standardised %)</w:t>
            </w:r>
          </w:p>
        </w:tc>
        <w:tc>
          <w:tcPr>
            <w:tcW w:type="dxa" w:w="1474"/>
          </w:tcPr>
          <w:p>
            <w:r/>
            <w:r>
              <w:rPr>
                <w:b/>
                <w:sz w:val="17"/>
              </w:rPr>
              <w:t>Persistence</w:t>
            </w:r>
          </w:p>
        </w:tc>
        <w:tc>
          <w:tcPr>
            <w:tcW w:type="dxa" w:w="1587"/>
          </w:tcPr>
          <w:p>
            <w:r/>
            <w:r>
              <w:rPr>
                <w:b/>
                <w:sz w:val="17"/>
              </w:rPr>
              <w:t>Mean last 3 y</w:t>
            </w:r>
          </w:p>
        </w:tc>
        <w:tc>
          <w:tcPr>
            <w:tcW w:type="dxa" w:w="1474"/>
          </w:tcPr>
          <w:p>
            <w:r/>
            <w:r>
              <w:rPr>
                <w:b/>
                <w:sz w:val="17"/>
              </w:rPr>
              <w:t>Ridge</w:t>
            </w:r>
          </w:p>
        </w:tc>
        <w:tc>
          <w:tcPr>
            <w:tcW w:type="dxa" w:w="1814"/>
          </w:tcPr>
          <w:p>
            <w:r/>
            <w:r>
              <w:rPr>
                <w:b/>
                <w:sz w:val="17"/>
              </w:rPr>
              <w:t>Gradient boosting</w:t>
            </w:r>
          </w:p>
        </w:tc>
      </w:tr>
      <w:tr>
        <w:tc>
          <w:tcPr>
            <w:tcW w:type="dxa" w:w="3005"/>
          </w:tcPr>
          <w:p>
            <w:r/>
            <w:r>
              <w:rPr>
                <w:sz w:val="17"/>
              </w:rPr>
              <w:t>Chewing difficulty (65+)</w:t>
            </w:r>
          </w:p>
        </w:tc>
        <w:tc>
          <w:tcPr>
            <w:tcW w:type="dxa" w:w="1474"/>
          </w:tcPr>
          <w:p>
            <w:r/>
            <w:r>
              <w:rPr>
                <w:sz w:val="17"/>
              </w:rPr>
              <w:t>4.09</w:t>
            </w:r>
          </w:p>
        </w:tc>
        <w:tc>
          <w:tcPr>
            <w:tcW w:type="dxa" w:w="1587"/>
          </w:tcPr>
          <w:p>
            <w:r/>
            <w:r>
              <w:rPr>
                <w:sz w:val="17"/>
              </w:rPr>
              <w:t>4.56</w:t>
            </w:r>
          </w:p>
        </w:tc>
        <w:tc>
          <w:tcPr>
            <w:tcW w:type="dxa" w:w="1474"/>
          </w:tcPr>
          <w:p>
            <w:r/>
            <w:r>
              <w:rPr>
                <w:sz w:val="17"/>
              </w:rPr>
              <w:t>3.33</w:t>
            </w:r>
          </w:p>
        </w:tc>
        <w:tc>
          <w:tcPr>
            <w:tcW w:type="dxa" w:w="1814"/>
          </w:tcPr>
          <w:p>
            <w:r/>
            <w:r>
              <w:rPr>
                <w:sz w:val="17"/>
              </w:rPr>
              <w:t>3.88</w:t>
            </w:r>
          </w:p>
        </w:tc>
      </w:tr>
      <w:tr>
        <w:tc>
          <w:tcPr>
            <w:tcW w:type="dxa" w:w="3005"/>
          </w:tcPr>
          <w:p>
            <w:r/>
            <w:r>
              <w:rPr>
                <w:sz w:val="17"/>
              </w:rPr>
              <w:t>Hypertension prevalence</w:t>
            </w:r>
          </w:p>
        </w:tc>
        <w:tc>
          <w:tcPr>
            <w:tcW w:type="dxa" w:w="1474"/>
          </w:tcPr>
          <w:p>
            <w:r/>
            <w:r>
              <w:rPr>
                <w:sz w:val="17"/>
              </w:rPr>
              <w:t>1.84</w:t>
            </w:r>
          </w:p>
        </w:tc>
        <w:tc>
          <w:tcPr>
            <w:tcW w:type="dxa" w:w="1587"/>
          </w:tcPr>
          <w:p>
            <w:r/>
            <w:r>
              <w:rPr>
                <w:sz w:val="17"/>
              </w:rPr>
              <w:t>1.65</w:t>
            </w:r>
          </w:p>
        </w:tc>
        <w:tc>
          <w:tcPr>
            <w:tcW w:type="dxa" w:w="1474"/>
          </w:tcPr>
          <w:p>
            <w:r/>
            <w:r>
              <w:rPr>
                <w:sz w:val="17"/>
              </w:rPr>
              <w:t>1.52</w:t>
            </w:r>
          </w:p>
        </w:tc>
        <w:tc>
          <w:tcPr>
            <w:tcW w:type="dxa" w:w="1814"/>
          </w:tcPr>
          <w:p>
            <w:r/>
            <w:r>
              <w:rPr>
                <w:sz w:val="17"/>
              </w:rPr>
              <w:t>1.56</w:t>
            </w:r>
          </w:p>
        </w:tc>
      </w:tr>
      <w:tr>
        <w:tc>
          <w:tcPr>
            <w:tcW w:type="dxa" w:w="3005"/>
          </w:tcPr>
          <w:p>
            <w:r/>
            <w:r>
              <w:rPr>
                <w:sz w:val="17"/>
              </w:rPr>
              <w:t>Hypertension treatment</w:t>
            </w:r>
          </w:p>
        </w:tc>
        <w:tc>
          <w:tcPr>
            <w:tcW w:type="dxa" w:w="1474"/>
          </w:tcPr>
          <w:p>
            <w:r/>
            <w:r>
              <w:rPr>
                <w:sz w:val="17"/>
              </w:rPr>
              <w:t>3.06</w:t>
            </w:r>
          </w:p>
        </w:tc>
        <w:tc>
          <w:tcPr>
            <w:tcW w:type="dxa" w:w="1587"/>
          </w:tcPr>
          <w:p>
            <w:r/>
            <w:r>
              <w:rPr>
                <w:sz w:val="17"/>
              </w:rPr>
              <w:t>2.52</w:t>
            </w:r>
          </w:p>
        </w:tc>
        <w:tc>
          <w:tcPr>
            <w:tcW w:type="dxa" w:w="1474"/>
          </w:tcPr>
          <w:p>
            <w:r/>
            <w:r>
              <w:rPr>
                <w:sz w:val="17"/>
              </w:rPr>
              <w:t>2.45</w:t>
            </w:r>
          </w:p>
        </w:tc>
        <w:tc>
          <w:tcPr>
            <w:tcW w:type="dxa" w:w="1814"/>
          </w:tcPr>
          <w:p>
            <w:r/>
            <w:r>
              <w:rPr>
                <w:sz w:val="17"/>
              </w:rPr>
              <w:t>2.47</w:t>
            </w:r>
          </w:p>
        </w:tc>
      </w:tr>
      <w:tr>
        <w:tc>
          <w:tcPr>
            <w:tcW w:type="dxa" w:w="3005"/>
          </w:tcPr>
          <w:p>
            <w:r/>
            <w:r>
              <w:rPr>
                <w:sz w:val="17"/>
              </w:rPr>
              <w:t>Diabetes prevalence</w:t>
            </w:r>
          </w:p>
        </w:tc>
        <w:tc>
          <w:tcPr>
            <w:tcW w:type="dxa" w:w="1474"/>
          </w:tcPr>
          <w:p>
            <w:r/>
            <w:r>
              <w:rPr>
                <w:sz w:val="17"/>
              </w:rPr>
              <w:t>1.39</w:t>
            </w:r>
          </w:p>
        </w:tc>
        <w:tc>
          <w:tcPr>
            <w:tcW w:type="dxa" w:w="1587"/>
          </w:tcPr>
          <w:p>
            <w:r/>
            <w:r>
              <w:rPr>
                <w:sz w:val="17"/>
              </w:rPr>
              <w:t>1.18</w:t>
            </w:r>
          </w:p>
        </w:tc>
        <w:tc>
          <w:tcPr>
            <w:tcW w:type="dxa" w:w="1474"/>
          </w:tcPr>
          <w:p>
            <w:r/>
            <w:r>
              <w:rPr>
                <w:sz w:val="17"/>
              </w:rPr>
              <w:t>1.06</w:t>
            </w:r>
          </w:p>
        </w:tc>
        <w:tc>
          <w:tcPr>
            <w:tcW w:type="dxa" w:w="1814"/>
          </w:tcPr>
          <w:p>
            <w:r/>
            <w:r>
              <w:rPr>
                <w:sz w:val="17"/>
              </w:rPr>
              <w:t>1.15</w:t>
            </w:r>
          </w:p>
        </w:tc>
      </w:tr>
      <w:tr>
        <w:tc>
          <w:tcPr>
            <w:tcW w:type="dxa" w:w="3005"/>
          </w:tcPr>
          <w:p>
            <w:r/>
            <w:r>
              <w:rPr>
                <w:sz w:val="17"/>
              </w:rPr>
              <w:t>Diabetes treatment</w:t>
            </w:r>
          </w:p>
        </w:tc>
        <w:tc>
          <w:tcPr>
            <w:tcW w:type="dxa" w:w="1474"/>
          </w:tcPr>
          <w:p>
            <w:r/>
            <w:r>
              <w:rPr>
                <w:sz w:val="17"/>
              </w:rPr>
              <w:t>4.72</w:t>
            </w:r>
          </w:p>
        </w:tc>
        <w:tc>
          <w:tcPr>
            <w:tcW w:type="dxa" w:w="1587"/>
          </w:tcPr>
          <w:p>
            <w:r/>
            <w:r>
              <w:rPr>
                <w:sz w:val="17"/>
              </w:rPr>
              <w:t>4.31</w:t>
            </w:r>
          </w:p>
        </w:tc>
        <w:tc>
          <w:tcPr>
            <w:tcW w:type="dxa" w:w="1474"/>
          </w:tcPr>
          <w:p>
            <w:r/>
            <w:r>
              <w:rPr>
                <w:sz w:val="17"/>
              </w:rPr>
              <w:t>3.88</w:t>
            </w:r>
          </w:p>
        </w:tc>
        <w:tc>
          <w:tcPr>
            <w:tcW w:type="dxa" w:w="1814"/>
          </w:tcPr>
          <w:p>
            <w:r/>
            <w:r>
              <w:rPr>
                <w:sz w:val="17"/>
              </w:rPr>
              <w:t>4.30</w:t>
            </w:r>
          </w:p>
        </w:tc>
      </w:tr>
      <w:tr>
        <w:tc>
          <w:tcPr>
            <w:tcW w:type="dxa" w:w="3005"/>
          </w:tcPr>
          <w:p>
            <w:r/>
            <w:r>
              <w:rPr>
                <w:sz w:val="17"/>
              </w:rPr>
              <w:t>Depressive mood</w:t>
            </w:r>
          </w:p>
        </w:tc>
        <w:tc>
          <w:tcPr>
            <w:tcW w:type="dxa" w:w="1474"/>
          </w:tcPr>
          <w:p>
            <w:r/>
            <w:r>
              <w:rPr>
                <w:sz w:val="17"/>
              </w:rPr>
              <w:t>1.86</w:t>
            </w:r>
          </w:p>
        </w:tc>
        <w:tc>
          <w:tcPr>
            <w:tcW w:type="dxa" w:w="1587"/>
          </w:tcPr>
          <w:p>
            <w:r/>
            <w:r>
              <w:rPr>
                <w:sz w:val="17"/>
              </w:rPr>
              <w:t>1.69</w:t>
            </w:r>
          </w:p>
        </w:tc>
        <w:tc>
          <w:tcPr>
            <w:tcW w:type="dxa" w:w="1474"/>
          </w:tcPr>
          <w:p>
            <w:r/>
            <w:r>
              <w:rPr>
                <w:sz w:val="17"/>
              </w:rPr>
              <w:t>1.67</w:t>
            </w:r>
          </w:p>
        </w:tc>
        <w:tc>
          <w:tcPr>
            <w:tcW w:type="dxa" w:w="1814"/>
          </w:tcPr>
          <w:p>
            <w:r/>
            <w:r>
              <w:rPr>
                <w:sz w:val="17"/>
              </w:rPr>
              <w:t>1.76</w:t>
            </w:r>
          </w:p>
        </w:tc>
      </w:tr>
      <w:tr>
        <w:tc>
          <w:tcPr>
            <w:tcW w:type="dxa" w:w="3005"/>
          </w:tcPr>
          <w:p>
            <w:r/>
            <w:r>
              <w:rPr>
                <w:sz w:val="17"/>
              </w:rPr>
              <w:t>Walking practice</w:t>
            </w:r>
          </w:p>
        </w:tc>
        <w:tc>
          <w:tcPr>
            <w:tcW w:type="dxa" w:w="1474"/>
          </w:tcPr>
          <w:p>
            <w:r/>
            <w:r>
              <w:rPr>
                <w:sz w:val="17"/>
              </w:rPr>
              <w:t>6.02</w:t>
            </w:r>
          </w:p>
        </w:tc>
        <w:tc>
          <w:tcPr>
            <w:tcW w:type="dxa" w:w="1587"/>
          </w:tcPr>
          <w:p>
            <w:r/>
            <w:r>
              <w:rPr>
                <w:sz w:val="17"/>
              </w:rPr>
              <w:t>6.37</w:t>
            </w:r>
          </w:p>
        </w:tc>
        <w:tc>
          <w:tcPr>
            <w:tcW w:type="dxa" w:w="1474"/>
          </w:tcPr>
          <w:p>
            <w:r/>
            <w:r>
              <w:rPr>
                <w:sz w:val="17"/>
              </w:rPr>
              <w:t>5.45</w:t>
            </w:r>
          </w:p>
        </w:tc>
        <w:tc>
          <w:tcPr>
            <w:tcW w:type="dxa" w:w="1814"/>
          </w:tcPr>
          <w:p>
            <w:r/>
            <w:r>
              <w:rPr>
                <w:sz w:val="17"/>
              </w:rPr>
              <w:t>5.66</w:t>
            </w:r>
          </w:p>
        </w:tc>
      </w:tr>
      <w:tr>
        <w:tc>
          <w:tcPr>
            <w:tcW w:type="dxa" w:w="3005"/>
          </w:tcPr>
          <w:p>
            <w:r/>
            <w:r>
              <w:rPr>
                <w:sz w:val="17"/>
              </w:rPr>
              <w:t>Obesity</w:t>
            </w:r>
          </w:p>
        </w:tc>
        <w:tc>
          <w:tcPr>
            <w:tcW w:type="dxa" w:w="1474"/>
          </w:tcPr>
          <w:p>
            <w:r/>
            <w:r>
              <w:rPr>
                <w:sz w:val="17"/>
              </w:rPr>
              <w:t>2.94</w:t>
            </w:r>
          </w:p>
        </w:tc>
        <w:tc>
          <w:tcPr>
            <w:tcW w:type="dxa" w:w="1587"/>
          </w:tcPr>
          <w:p>
            <w:r/>
            <w:r>
              <w:rPr>
                <w:sz w:val="17"/>
              </w:rPr>
              <w:t>2.58</w:t>
            </w:r>
          </w:p>
        </w:tc>
        <w:tc>
          <w:tcPr>
            <w:tcW w:type="dxa" w:w="1474"/>
          </w:tcPr>
          <w:p>
            <w:r/>
            <w:r>
              <w:rPr>
                <w:sz w:val="17"/>
              </w:rPr>
              <w:t>2.30</w:t>
            </w:r>
          </w:p>
        </w:tc>
        <w:tc>
          <w:tcPr>
            <w:tcW w:type="dxa" w:w="1814"/>
          </w:tcPr>
          <w:p>
            <w:r/>
            <w:r>
              <w:rPr>
                <w:sz w:val="17"/>
              </w:rPr>
              <w:t>2.35</w:t>
            </w:r>
          </w:p>
        </w:tc>
      </w:tr>
      <w:tr>
        <w:tc>
          <w:tcPr>
            <w:tcW w:type="dxa" w:w="3005"/>
          </w:tcPr>
          <w:p>
            <w:r/>
            <w:r>
              <w:rPr>
                <w:sz w:val="17"/>
              </w:rPr>
              <w:t>Good self-rated health</w:t>
            </w:r>
          </w:p>
        </w:tc>
        <w:tc>
          <w:tcPr>
            <w:tcW w:type="dxa" w:w="1474"/>
          </w:tcPr>
          <w:p>
            <w:r/>
            <w:r>
              <w:rPr>
                <w:sz w:val="17"/>
              </w:rPr>
              <w:t>4.47</w:t>
            </w:r>
          </w:p>
        </w:tc>
        <w:tc>
          <w:tcPr>
            <w:tcW w:type="dxa" w:w="1587"/>
          </w:tcPr>
          <w:p>
            <w:r/>
            <w:r>
              <w:rPr>
                <w:sz w:val="17"/>
              </w:rPr>
              <w:t>4.11</w:t>
            </w:r>
          </w:p>
        </w:tc>
        <w:tc>
          <w:tcPr>
            <w:tcW w:type="dxa" w:w="1474"/>
          </w:tcPr>
          <w:p>
            <w:r/>
            <w:r>
              <w:rPr>
                <w:sz w:val="17"/>
              </w:rPr>
              <w:t>4.30</w:t>
            </w:r>
          </w:p>
        </w:tc>
        <w:tc>
          <w:tcPr>
            <w:tcW w:type="dxa" w:w="1814"/>
          </w:tcPr>
          <w:p>
            <w:r/>
            <w:r>
              <w:rPr>
                <w:sz w:val="17"/>
              </w:rPr>
              <w:t>4.03</w:t>
            </w:r>
          </w:p>
        </w:tc>
      </w:tr>
      <w:tr>
        <w:tc>
          <w:tcPr>
            <w:tcW w:type="dxa" w:w="3005"/>
          </w:tcPr>
          <w:p>
            <w:r/>
            <w:r>
              <w:rPr>
                <w:sz w:val="17"/>
              </w:rPr>
              <w:t>Influenza vaccination</w:t>
            </w:r>
          </w:p>
        </w:tc>
        <w:tc>
          <w:tcPr>
            <w:tcW w:type="dxa" w:w="1474"/>
          </w:tcPr>
          <w:p>
            <w:r/>
            <w:r>
              <w:rPr>
                <w:sz w:val="17"/>
              </w:rPr>
              <w:t>3.61</w:t>
            </w:r>
          </w:p>
        </w:tc>
        <w:tc>
          <w:tcPr>
            <w:tcW w:type="dxa" w:w="1587"/>
          </w:tcPr>
          <w:p>
            <w:r/>
            <w:r>
              <w:rPr>
                <w:sz w:val="17"/>
              </w:rPr>
              <w:t>3.27</w:t>
            </w:r>
          </w:p>
        </w:tc>
        <w:tc>
          <w:tcPr>
            <w:tcW w:type="dxa" w:w="1474"/>
          </w:tcPr>
          <w:p>
            <w:r/>
            <w:r>
              <w:rPr>
                <w:sz w:val="17"/>
              </w:rPr>
              <w:t>3.61</w:t>
            </w:r>
          </w:p>
        </w:tc>
        <w:tc>
          <w:tcPr>
            <w:tcW w:type="dxa" w:w="1814"/>
          </w:tcPr>
          <w:p>
            <w:r/>
            <w:r>
              <w:rPr>
                <w:sz w:val="17"/>
              </w:rPr>
              <w:t>3.67</w:t>
            </w:r>
          </w:p>
        </w:tc>
      </w:tr>
      <w:tr>
        <w:tc>
          <w:tcPr>
            <w:tcW w:type="dxa" w:w="3005"/>
          </w:tcPr>
          <w:p>
            <w:r/>
            <w:r>
              <w:rPr>
                <w:sz w:val="17"/>
              </w:rPr>
              <w:t>Mean</w:t>
            </w:r>
          </w:p>
        </w:tc>
        <w:tc>
          <w:tcPr>
            <w:tcW w:type="dxa" w:w="1474"/>
          </w:tcPr>
          <w:p>
            <w:r/>
            <w:r>
              <w:rPr>
                <w:sz w:val="17"/>
              </w:rPr>
              <w:t>3.40</w:t>
            </w:r>
          </w:p>
        </w:tc>
        <w:tc>
          <w:tcPr>
            <w:tcW w:type="dxa" w:w="1587"/>
          </w:tcPr>
          <w:p>
            <w:r/>
            <w:r>
              <w:rPr>
                <w:sz w:val="17"/>
              </w:rPr>
              <w:t>3.22</w:t>
            </w:r>
          </w:p>
        </w:tc>
        <w:tc>
          <w:tcPr>
            <w:tcW w:type="dxa" w:w="1474"/>
          </w:tcPr>
          <w:p>
            <w:r/>
            <w:r>
              <w:rPr>
                <w:sz w:val="17"/>
              </w:rPr>
              <w:t>2.96</w:t>
            </w:r>
          </w:p>
        </w:tc>
        <w:tc>
          <w:tcPr>
            <w:tcW w:type="dxa" w:w="1814"/>
          </w:tcPr>
          <w:p>
            <w:r/>
            <w:r>
              <w:rPr>
                <w:sz w:val="17"/>
              </w:rPr>
              <w:t>3.08</w:t>
            </w:r>
          </w:p>
        </w:tc>
      </w:tr>
    </w:tbl>
    <w:p>
      <w:pPr>
        <w:spacing w:after="40"/>
      </w:pPr>
    </w:p>
    <w:p>
      <w:pPr>
        <w:spacing w:after="120"/>
      </w:pPr>
      <w:r>
        <w:rPr>
          <w:b w:val="0"/>
          <w:i/>
          <w:sz w:val="19"/>
        </w:rPr>
        <w:t>Table 4. T1 one-step-ahead forecasting, test years 2024–2025 (about 490 unit-years per target; MAE in percentage points). Models use lags 1–3 of all 41 indicators and area type; trained on target years 2010–2023.</w:t>
      </w:r>
    </w:p>
    <w:tbl>
      <w:tblPr>
        <w:tblStyle w:val="TableGrid"/>
        <w:tblW w:type="auto" w:w="0"/>
        <w:tblLayout w:type="fixed"/>
        <w:tblLook w:firstColumn="1" w:firstRow="1" w:lastColumn="0" w:lastRow="0" w:noHBand="0" w:noVBand="1" w:val="04A0"/>
        <w:tblLayout w:type="fixed"/>
      </w:tblPr>
      <w:tblGrid>
        <w:gridCol w:w="3969"/>
        <w:gridCol w:w="1134"/>
        <w:gridCol w:w="1701"/>
        <w:gridCol w:w="1701"/>
      </w:tblGrid>
      <w:tr>
        <w:tc>
          <w:tcPr>
            <w:tcW w:type="dxa" w:w="3969"/>
          </w:tcPr>
          <w:p>
            <w:r/>
            <w:r>
              <w:rPr>
                <w:b/>
                <w:sz w:val="18"/>
              </w:rPr>
              <w:t>T2 model</w:t>
            </w:r>
          </w:p>
        </w:tc>
        <w:tc>
          <w:tcPr>
            <w:tcW w:type="dxa" w:w="1134"/>
          </w:tcPr>
          <w:p>
            <w:r/>
            <w:r>
              <w:rPr>
                <w:b/>
                <w:sz w:val="18"/>
              </w:rPr>
              <w:t>n</w:t>
            </w:r>
          </w:p>
        </w:tc>
        <w:tc>
          <w:tcPr>
            <w:tcW w:type="dxa" w:w="1701"/>
          </w:tcPr>
          <w:p>
            <w:r/>
            <w:r>
              <w:rPr>
                <w:b/>
                <w:sz w:val="18"/>
              </w:rPr>
              <w:t>MAE (years)</w:t>
            </w:r>
          </w:p>
        </w:tc>
        <w:tc>
          <w:tcPr>
            <w:tcW w:type="dxa" w:w="1701"/>
          </w:tcPr>
          <w:p>
            <w:r/>
            <w:r>
              <w:rPr>
                <w:b/>
                <w:sz w:val="18"/>
              </w:rPr>
              <w:t>R²</w:t>
            </w:r>
          </w:p>
        </w:tc>
      </w:tr>
      <w:tr>
        <w:tc>
          <w:tcPr>
            <w:tcW w:type="dxa" w:w="3969"/>
          </w:tcPr>
          <w:p>
            <w:r/>
            <w:r>
              <w:rPr>
                <w:sz w:val="18"/>
              </w:rPr>
              <w:t>mean (province-agnostic)</w:t>
            </w:r>
          </w:p>
        </w:tc>
        <w:tc>
          <w:tcPr>
            <w:tcW w:type="dxa" w:w="1134"/>
          </w:tcPr>
          <w:p>
            <w:r/>
            <w:r>
              <w:rPr>
                <w:sz w:val="18"/>
              </w:rPr>
              <w:t>228</w:t>
            </w:r>
          </w:p>
        </w:tc>
        <w:tc>
          <w:tcPr>
            <w:tcW w:type="dxa" w:w="1701"/>
          </w:tcPr>
          <w:p>
            <w:r/>
            <w:r>
              <w:rPr>
                <w:sz w:val="18"/>
              </w:rPr>
              <w:t>1.44</w:t>
            </w:r>
          </w:p>
        </w:tc>
        <w:tc>
          <w:tcPr>
            <w:tcW w:type="dxa" w:w="1701"/>
          </w:tcPr>
          <w:p>
            <w:r/>
            <w:r>
              <w:rPr>
                <w:sz w:val="18"/>
              </w:rPr>
              <w:t>-0.08</w:t>
            </w:r>
          </w:p>
        </w:tc>
      </w:tr>
      <w:tr>
        <w:tc>
          <w:tcPr>
            <w:tcW w:type="dxa" w:w="3969"/>
          </w:tcPr>
          <w:p>
            <w:r/>
            <w:r>
              <w:rPr>
                <w:sz w:val="18"/>
              </w:rPr>
              <w:t>ridge</w:t>
            </w:r>
          </w:p>
        </w:tc>
        <w:tc>
          <w:tcPr>
            <w:tcW w:type="dxa" w:w="1134"/>
          </w:tcPr>
          <w:p>
            <w:r/>
            <w:r>
              <w:rPr>
                <w:sz w:val="18"/>
              </w:rPr>
              <w:t>228</w:t>
            </w:r>
          </w:p>
        </w:tc>
        <w:tc>
          <w:tcPr>
            <w:tcW w:type="dxa" w:w="1701"/>
          </w:tcPr>
          <w:p>
            <w:r/>
            <w:r>
              <w:rPr>
                <w:sz w:val="18"/>
              </w:rPr>
              <w:t>1.00</w:t>
            </w:r>
          </w:p>
        </w:tc>
        <w:tc>
          <w:tcPr>
            <w:tcW w:type="dxa" w:w="1701"/>
          </w:tcPr>
          <w:p>
            <w:r/>
            <w:r>
              <w:rPr>
                <w:sz w:val="18"/>
              </w:rPr>
              <w:t>0.51</w:t>
            </w:r>
          </w:p>
        </w:tc>
      </w:tr>
      <w:tr>
        <w:tc>
          <w:tcPr>
            <w:tcW w:type="dxa" w:w="3969"/>
          </w:tcPr>
          <w:p>
            <w:r/>
            <w:r>
              <w:rPr>
                <w:sz w:val="18"/>
              </w:rPr>
              <w:t>gradient boosting</w:t>
            </w:r>
          </w:p>
        </w:tc>
        <w:tc>
          <w:tcPr>
            <w:tcW w:type="dxa" w:w="1134"/>
          </w:tcPr>
          <w:p>
            <w:r/>
            <w:r>
              <w:rPr>
                <w:sz w:val="18"/>
              </w:rPr>
              <w:t>228</w:t>
            </w:r>
          </w:p>
        </w:tc>
        <w:tc>
          <w:tcPr>
            <w:tcW w:type="dxa" w:w="1701"/>
          </w:tcPr>
          <w:p>
            <w:r/>
            <w:r>
              <w:rPr>
                <w:sz w:val="18"/>
              </w:rPr>
              <w:t>1.03</w:t>
            </w:r>
          </w:p>
        </w:tc>
        <w:tc>
          <w:tcPr>
            <w:tcW w:type="dxa" w:w="1701"/>
          </w:tcPr>
          <w:p>
            <w:r/>
            <w:r>
              <w:rPr>
                <w:sz w:val="18"/>
              </w:rPr>
              <w:t>0.46</w:t>
            </w:r>
          </w:p>
        </w:tc>
      </w:tr>
    </w:tbl>
    <w:p>
      <w:pPr>
        <w:spacing w:after="40"/>
      </w:pPr>
    </w:p>
    <w:p>
      <w:pPr>
        <w:spacing w:after="120"/>
      </w:pPr>
      <w:r>
        <w:rPr>
          <w:b w:val="0"/>
          <w:i/>
          <w:sz w:val="19"/>
        </w:rPr>
        <w:t>Table 5. T2 healthy life expectancy (2023) regression with leave-one-province-out validation (17 folds). Self-rated health is excluded from the features because it is an input to the HLE estimate.</w:t>
      </w:r>
    </w:p>
    <w:tbl>
      <w:tblPr>
        <w:tblStyle w:val="TableGrid"/>
        <w:tblW w:type="auto" w:w="0"/>
        <w:tblLayout w:type="fixed"/>
        <w:tblLook w:firstColumn="1" w:firstRow="1" w:lastColumn="0" w:lastRow="0" w:noHBand="0" w:noVBand="1" w:val="04A0"/>
        <w:tblLayout w:type="fixed"/>
      </w:tblPr>
      <w:tblGrid>
        <w:gridCol w:w="2948"/>
        <w:gridCol w:w="2381"/>
        <w:gridCol w:w="1020"/>
        <w:gridCol w:w="907"/>
        <w:gridCol w:w="1020"/>
        <w:gridCol w:w="907"/>
      </w:tblGrid>
      <w:tr>
        <w:tc>
          <w:tcPr>
            <w:tcW w:type="dxa" w:w="2948"/>
          </w:tcPr>
          <w:p>
            <w:r/>
            <w:r>
              <w:rPr>
                <w:b/>
                <w:sz w:val="17"/>
              </w:rPr>
              <w:t>Model</w:t>
            </w:r>
          </w:p>
        </w:tc>
        <w:tc>
          <w:tcPr>
            <w:tcW w:type="dxa" w:w="2381"/>
          </w:tcPr>
          <w:p>
            <w:r/>
            <w:r>
              <w:rPr>
                <w:b/>
                <w:sz w:val="17"/>
              </w:rPr>
              <w:t>Evaluated on</w:t>
            </w:r>
          </w:p>
        </w:tc>
        <w:tc>
          <w:tcPr>
            <w:tcW w:type="dxa" w:w="1020"/>
          </w:tcPr>
          <w:p>
            <w:r/>
            <w:r>
              <w:rPr>
                <w:b/>
                <w:sz w:val="17"/>
              </w:rPr>
              <w:t>Q1 (least)</w:t>
            </w:r>
          </w:p>
        </w:tc>
        <w:tc>
          <w:tcPr>
            <w:tcW w:type="dxa" w:w="907"/>
          </w:tcPr>
          <w:p>
            <w:r/>
            <w:r>
              <w:rPr>
                <w:b/>
                <w:sz w:val="17"/>
              </w:rPr>
              <w:t>Q3</w:t>
            </w:r>
          </w:p>
        </w:tc>
        <w:tc>
          <w:tcPr>
            <w:tcW w:type="dxa" w:w="1020"/>
          </w:tcPr>
          <w:p>
            <w:r/>
            <w:r>
              <w:rPr>
                <w:b/>
                <w:sz w:val="17"/>
              </w:rPr>
              <w:t>Q5 (most)</w:t>
            </w:r>
          </w:p>
        </w:tc>
        <w:tc>
          <w:tcPr>
            <w:tcW w:type="dxa" w:w="907"/>
          </w:tcPr>
          <w:p>
            <w:r/>
            <w:r>
              <w:rPr>
                <w:b/>
                <w:sz w:val="17"/>
              </w:rPr>
              <w:t>Q5/Q1</w:t>
            </w:r>
          </w:p>
        </w:tc>
      </w:tr>
      <w:tr>
        <w:tc>
          <w:tcPr>
            <w:tcW w:type="dxa" w:w="2948"/>
          </w:tcPr>
          <w:p>
            <w:r/>
            <w:r>
              <w:rPr>
                <w:sz w:val="17"/>
              </w:rPr>
              <w:t>gradient boosting (lags of all 41 indicators)</w:t>
            </w:r>
          </w:p>
        </w:tc>
        <w:tc>
          <w:tcPr>
            <w:tcW w:type="dxa" w:w="2381"/>
          </w:tcPr>
          <w:p>
            <w:r/>
            <w:r>
              <w:rPr>
                <w:sz w:val="17"/>
              </w:rPr>
              <w:t>(on T1 test, all 10 targets)</w:t>
            </w:r>
          </w:p>
        </w:tc>
        <w:tc>
          <w:tcPr>
            <w:tcW w:type="dxa" w:w="1020"/>
          </w:tcPr>
          <w:p>
            <w:r/>
            <w:r>
              <w:rPr>
                <w:sz w:val="17"/>
              </w:rPr>
              <w:t>2.88</w:t>
            </w:r>
          </w:p>
        </w:tc>
        <w:tc>
          <w:tcPr>
            <w:tcW w:type="dxa" w:w="907"/>
          </w:tcPr>
          <w:p>
            <w:r/>
            <w:r>
              <w:rPr>
                <w:sz w:val="17"/>
              </w:rPr>
              <w:t>3.01</w:t>
            </w:r>
          </w:p>
        </w:tc>
        <w:tc>
          <w:tcPr>
            <w:tcW w:type="dxa" w:w="1020"/>
          </w:tcPr>
          <w:p>
            <w:r/>
            <w:r>
              <w:rPr>
                <w:sz w:val="17"/>
              </w:rPr>
              <w:t>3.65</w:t>
            </w:r>
          </w:p>
        </w:tc>
        <w:tc>
          <w:tcPr>
            <w:tcW w:type="dxa" w:w="907"/>
          </w:tcPr>
          <w:p>
            <w:r/>
            <w:r>
              <w:rPr>
                <w:sz w:val="17"/>
              </w:rPr>
              <w:t>1.27</w:t>
            </w:r>
          </w:p>
        </w:tc>
      </w:tr>
      <w:tr>
        <w:tc>
          <w:tcPr>
            <w:tcW w:type="dxa" w:w="2948"/>
          </w:tcPr>
          <w:p>
            <w:r/>
            <w:r>
              <w:rPr>
                <w:sz w:val="17"/>
              </w:rPr>
              <w:t>persistence (last value)</w:t>
            </w:r>
          </w:p>
        </w:tc>
        <w:tc>
          <w:tcPr>
            <w:tcW w:type="dxa" w:w="2381"/>
          </w:tcPr>
          <w:p>
            <w:r/>
            <w:r>
              <w:rPr>
                <w:sz w:val="17"/>
              </w:rPr>
              <w:t>(on T1 test, all 10 targets)</w:t>
            </w:r>
          </w:p>
        </w:tc>
        <w:tc>
          <w:tcPr>
            <w:tcW w:type="dxa" w:w="1020"/>
          </w:tcPr>
          <w:p>
            <w:r/>
            <w:r>
              <w:rPr>
                <w:sz w:val="17"/>
              </w:rPr>
              <w:t>3.13</w:t>
            </w:r>
          </w:p>
        </w:tc>
        <w:tc>
          <w:tcPr>
            <w:tcW w:type="dxa" w:w="907"/>
          </w:tcPr>
          <w:p>
            <w:r/>
            <w:r>
              <w:rPr>
                <w:sz w:val="17"/>
              </w:rPr>
              <w:t>3.40</w:t>
            </w:r>
          </w:p>
        </w:tc>
        <w:tc>
          <w:tcPr>
            <w:tcW w:type="dxa" w:w="1020"/>
          </w:tcPr>
          <w:p>
            <w:r/>
            <w:r>
              <w:rPr>
                <w:sz w:val="17"/>
              </w:rPr>
              <w:t>4.13</w:t>
            </w:r>
          </w:p>
        </w:tc>
        <w:tc>
          <w:tcPr>
            <w:tcW w:type="dxa" w:w="907"/>
          </w:tcPr>
          <w:p>
            <w:r/>
            <w:r>
              <w:rPr>
                <w:sz w:val="17"/>
              </w:rPr>
              <w:t>1.32</w:t>
            </w:r>
          </w:p>
        </w:tc>
      </w:tr>
      <w:tr>
        <w:tc>
          <w:tcPr>
            <w:tcW w:type="dxa" w:w="2948"/>
          </w:tcPr>
          <w:p>
            <w:r/>
            <w:r>
              <w:rPr>
                <w:sz w:val="17"/>
              </w:rPr>
              <w:t>mean (province-agnostic)</w:t>
            </w:r>
          </w:p>
        </w:tc>
        <w:tc>
          <w:tcPr>
            <w:tcW w:type="dxa" w:w="2381"/>
          </w:tcPr>
          <w:p>
            <w:r/>
            <w:r>
              <w:rPr>
                <w:sz w:val="17"/>
              </w:rPr>
              <w:t>(on T2 LOPO)</w:t>
            </w:r>
          </w:p>
        </w:tc>
        <w:tc>
          <w:tcPr>
            <w:tcW w:type="dxa" w:w="1020"/>
          </w:tcPr>
          <w:p>
            <w:r/>
            <w:r>
              <w:rPr>
                <w:sz w:val="17"/>
              </w:rPr>
              <w:t>1.61</w:t>
            </w:r>
          </w:p>
        </w:tc>
        <w:tc>
          <w:tcPr>
            <w:tcW w:type="dxa" w:w="907"/>
          </w:tcPr>
          <w:p>
            <w:r/>
            <w:r>
              <w:rPr>
                <w:sz w:val="17"/>
              </w:rPr>
              <w:t>1.63</w:t>
            </w:r>
          </w:p>
        </w:tc>
        <w:tc>
          <w:tcPr>
            <w:tcW w:type="dxa" w:w="1020"/>
          </w:tcPr>
          <w:p>
            <w:r/>
            <w:r>
              <w:rPr>
                <w:sz w:val="17"/>
              </w:rPr>
              <w:t>1.26</w:t>
            </w:r>
          </w:p>
        </w:tc>
        <w:tc>
          <w:tcPr>
            <w:tcW w:type="dxa" w:w="907"/>
          </w:tcPr>
          <w:p>
            <w:r/>
            <w:r>
              <w:rPr>
                <w:sz w:val="17"/>
              </w:rPr>
              <w:t>0.78</w:t>
            </w:r>
          </w:p>
        </w:tc>
      </w:tr>
      <w:tr>
        <w:tc>
          <w:tcPr>
            <w:tcW w:type="dxa" w:w="2948"/>
          </w:tcPr>
          <w:p>
            <w:r/>
            <w:r>
              <w:rPr>
                <w:sz w:val="17"/>
              </w:rPr>
              <w:t>ridge</w:t>
            </w:r>
          </w:p>
        </w:tc>
        <w:tc>
          <w:tcPr>
            <w:tcW w:type="dxa" w:w="2381"/>
          </w:tcPr>
          <w:p>
            <w:r/>
            <w:r>
              <w:rPr>
                <w:sz w:val="17"/>
              </w:rPr>
              <w:t>(on T2 LOPO)</w:t>
            </w:r>
          </w:p>
        </w:tc>
        <w:tc>
          <w:tcPr>
            <w:tcW w:type="dxa" w:w="1020"/>
          </w:tcPr>
          <w:p>
            <w:r/>
            <w:r>
              <w:rPr>
                <w:sz w:val="17"/>
              </w:rPr>
              <w:t>0.95</w:t>
            </w:r>
          </w:p>
        </w:tc>
        <w:tc>
          <w:tcPr>
            <w:tcW w:type="dxa" w:w="907"/>
          </w:tcPr>
          <w:p>
            <w:r/>
            <w:r>
              <w:rPr>
                <w:sz w:val="17"/>
              </w:rPr>
              <w:t>1.24</w:t>
            </w:r>
          </w:p>
        </w:tc>
        <w:tc>
          <w:tcPr>
            <w:tcW w:type="dxa" w:w="1020"/>
          </w:tcPr>
          <w:p>
            <w:r/>
            <w:r>
              <w:rPr>
                <w:sz w:val="17"/>
              </w:rPr>
              <w:t>0.96</w:t>
            </w:r>
          </w:p>
        </w:tc>
        <w:tc>
          <w:tcPr>
            <w:tcW w:type="dxa" w:w="907"/>
          </w:tcPr>
          <w:p>
            <w:r/>
            <w:r>
              <w:rPr>
                <w:sz w:val="17"/>
              </w:rPr>
              <w:t>1.01</w:t>
            </w:r>
          </w:p>
        </w:tc>
      </w:tr>
      <w:tr>
        <w:tc>
          <w:tcPr>
            <w:tcW w:type="dxa" w:w="2948"/>
          </w:tcPr>
          <w:p>
            <w:r/>
            <w:r>
              <w:rPr>
                <w:sz w:val="17"/>
              </w:rPr>
              <w:t>gradient boosting</w:t>
            </w:r>
          </w:p>
        </w:tc>
        <w:tc>
          <w:tcPr>
            <w:tcW w:type="dxa" w:w="2381"/>
          </w:tcPr>
          <w:p>
            <w:r/>
            <w:r>
              <w:rPr>
                <w:sz w:val="17"/>
              </w:rPr>
              <w:t>(on T2 LOPO)</w:t>
            </w:r>
          </w:p>
        </w:tc>
        <w:tc>
          <w:tcPr>
            <w:tcW w:type="dxa" w:w="1020"/>
          </w:tcPr>
          <w:p>
            <w:r/>
            <w:r>
              <w:rPr>
                <w:sz w:val="17"/>
              </w:rPr>
              <w:t>0.86</w:t>
            </w:r>
          </w:p>
        </w:tc>
        <w:tc>
          <w:tcPr>
            <w:tcW w:type="dxa" w:w="907"/>
          </w:tcPr>
          <w:p>
            <w:r/>
            <w:r>
              <w:rPr>
                <w:sz w:val="17"/>
              </w:rPr>
              <w:t>1.36</w:t>
            </w:r>
          </w:p>
        </w:tc>
        <w:tc>
          <w:tcPr>
            <w:tcW w:type="dxa" w:w="1020"/>
          </w:tcPr>
          <w:p>
            <w:r/>
            <w:r>
              <w:rPr>
                <w:sz w:val="17"/>
              </w:rPr>
              <w:t>1.04</w:t>
            </w:r>
          </w:p>
        </w:tc>
        <w:tc>
          <w:tcPr>
            <w:tcW w:type="dxa" w:w="907"/>
          </w:tcPr>
          <w:p>
            <w:r/>
            <w:r>
              <w:rPr>
                <w:sz w:val="17"/>
              </w:rPr>
              <w:t>1.21</w:t>
            </w:r>
          </w:p>
        </w:tc>
      </w:tr>
    </w:tbl>
    <w:p>
      <w:pPr>
        <w:spacing w:after="40"/>
      </w:pPr>
    </w:p>
    <w:p>
      <w:pPr>
        <w:spacing w:after="120"/>
      </w:pPr>
      <w:r>
        <w:rPr>
          <w:b w:val="0"/>
          <w:i/>
          <w:sz w:val="19"/>
        </w:rPr>
        <w:t>Table 6. T3 equity audit: mean absolute error by area deprivation quintile.</w:t>
      </w:r>
    </w:p>
    <w:p>
      <w:r>
        <w:rPr>
          <w:b w:val="0"/>
          <w:i w:val="0"/>
        </w:rPr>
        <w:t>Findings. A ridge model using the full indicator profile beats naive persistence for nine of ten targets, with one tie (mean skill 14%), but errors remain several percentage points, leaving clear headroom for spatio-temporal and multi-task models. HLE is moderately predictable from determinants across unseen provinces (R² = 0.51). Crucially, forecasting error is higher in the most deprived areas for both naive and learned models — precisely where AgeTech interventions are most needed — making K-HALO a natural benchmark for fairness-aware methods.</w:t>
      </w:r>
    </w:p>
    <w:p>
      <w:r>
        <w:drawing>
          <wp:inline xmlns:a="http://schemas.openxmlformats.org/drawingml/2006/main" xmlns:pic="http://schemas.openxmlformats.org/drawingml/2006/picture">
            <wp:extent cx="4500000" cy="2700000"/>
            <wp:docPr id="2" name="Picture 2"/>
            <wp:cNvGraphicFramePr>
              <a:graphicFrameLocks noChangeAspect="1"/>
            </wp:cNvGraphicFramePr>
            <a:graphic>
              <a:graphicData uri="http://schemas.openxmlformats.org/drawingml/2006/picture">
                <pic:pic>
                  <pic:nvPicPr>
                    <pic:cNvPr id="0" name="fig2_hle_deprivation.png"/>
                    <pic:cNvPicPr/>
                  </pic:nvPicPr>
                  <pic:blipFill>
                    <a:blip r:embed="rId10"/>
                    <a:stretch>
                      <a:fillRect/>
                    </a:stretch>
                  </pic:blipFill>
                  <pic:spPr>
                    <a:xfrm>
                      <a:off x="0" y="0"/>
                      <a:ext cx="4500000" cy="2700000"/>
                    </a:xfrm>
                    <a:prstGeom prst="rect"/>
                  </pic:spPr>
                </pic:pic>
              </a:graphicData>
            </a:graphic>
          </wp:inline>
        </w:drawing>
      </w:r>
    </w:p>
    <w:p>
      <w:pPr>
        <w:spacing w:after="120"/>
      </w:pPr>
      <w:r>
        <w:rPr>
          <w:b w:val="0"/>
          <w:i/>
          <w:sz w:val="19"/>
        </w:rPr>
        <w:t>Figure 2. District healthy life expectancy vs. area deprivation, 2023; colour shows life expectancy.</w:t>
      </w:r>
    </w:p>
    <w:p>
      <w:pPr>
        <w:pStyle w:val="Heading1"/>
      </w:pPr>
      <w:r>
        <w:t>8. Accessibility and Reproducibility</w:t>
      </w:r>
    </w:p>
    <w:p>
      <w:pPr>
        <w:pStyle w:val="ListBullet"/>
        <w:spacing w:after="20"/>
      </w:pPr>
      <w:r>
        <w:rPr>
          <w:b/>
        </w:rPr>
        <w:t>Access.</w:t>
      </w:r>
      <w:r>
        <w:t xml:space="preserve"> IEEE DataPort (open access). Package: data/ (7 CSV files + SQLite), metadata/data_dictionary.csv, croissant.json, DATASHEET.md, README.md, LICENSE.md, CITATION.cff, benchmarks/, qc/, tools/.</w:t>
      </w:r>
    </w:p>
    <w:p>
      <w:pPr>
        <w:pStyle w:val="ListBullet"/>
        <w:spacing w:after="20"/>
      </w:pPr>
      <w:r>
        <w:rPr>
          <w:b/>
        </w:rPr>
        <w:t>Interoperability.</w:t>
      </w:r>
      <w:r>
        <w:t xml:space="preserve"> Standard open formats (CSV UTF-8, SQLite); bilingual names (English/Korean); Statistics Korea codes for spatial joins; MLCommons Croissant 1.0 metadata with Responsible-AI fields for automatic loading in ML frameworks.</w:t>
      </w:r>
    </w:p>
    <w:p>
      <w:pPr>
        <w:pStyle w:val="ListBullet"/>
        <w:spacing w:after="20"/>
      </w:pPr>
      <w:r>
        <w:rPr>
          <w:b/>
        </w:rPr>
        <w:t>Replication.</w:t>
      </w:r>
      <w:r>
        <w:t xml:space="preserve"> python benchmarks/run_baselines.py data reproduces Tables 4–6 (pandas, scikit-learn; fixed seed). python qc/run_qc.py data reproduces Section 5 and the figures. tools/build_khalo.py rebuilds the data from the source statistics.</w:t>
      </w:r>
    </w:p>
    <w:p>
      <w:pPr>
        <w:pStyle w:val="ListBullet"/>
        <w:spacing w:after="20"/>
      </w:pPr>
      <w:r>
        <w:rPr>
          <w:b/>
        </w:rPr>
        <w:t>Maintenance.</w:t>
      </w:r>
      <w:r>
        <w:t xml:space="preserve"> Annual updates after each CHS release, with versioned changelog.</w:t>
      </w:r>
    </w:p>
    <w:p>
      <w:pPr>
        <w:pStyle w:val="Heading1"/>
      </w:pPr>
      <w:r>
        <w:t>9. References</w:t>
      </w:r>
    </w:p>
    <w:p>
      <w:pPr>
        <w:spacing w:after="40"/>
      </w:pPr>
      <w:r>
        <w:rPr>
          <w:sz w:val="20"/>
        </w:rPr>
        <w:t>Chiang CL. The Life Table and Its Applications. Malabar, FL: Krieger; 1984.</w:t>
      </w:r>
    </w:p>
    <w:p>
      <w:pPr>
        <w:spacing w:after="40"/>
      </w:pPr>
      <w:r>
        <w:rPr>
          <w:sz w:val="20"/>
        </w:rPr>
        <w:t>Gebru T, Morgenstern J, Vecchione B, et al. Datasheets for datasets. Communications of the ACM. 2021;64(12):86–92.</w:t>
      </w:r>
    </w:p>
    <w:p>
      <w:pPr>
        <w:spacing w:after="40"/>
      </w:pPr>
      <w:r>
        <w:rPr>
          <w:sz w:val="20"/>
        </w:rPr>
        <w:t>Kang YW, Ko YS, Kim YJ, et al. Korea Community Health Survey data profiles. Osong Public Health and Research Perspectives. 2015;6(3):211–217.</w:t>
      </w:r>
    </w:p>
    <w:p>
      <w:pPr>
        <w:spacing w:after="40"/>
      </w:pPr>
      <w:r>
        <w:rPr>
          <w:sz w:val="20"/>
        </w:rPr>
        <w:t>Kim DJ, et al. Korean area deprivation index for health equity monitoring (in Korean). Korea Institute for Health and Social Affairs; 2013.</w:t>
      </w:r>
    </w:p>
    <w:p>
      <w:pPr>
        <w:spacing w:after="40"/>
      </w:pPr>
      <w:r>
        <w:rPr>
          <w:sz w:val="20"/>
        </w:rPr>
        <w:t>Korea Disease Control and Prevention Agency. Community Health Survey statistics, 2008–2025. KOSIS, https://kosis.kr (accessed Sep 2026).</w:t>
      </w:r>
    </w:p>
    <w:p>
      <w:pPr>
        <w:spacing w:after="40"/>
      </w:pPr>
      <w:r>
        <w:rPr>
          <w:sz w:val="20"/>
        </w:rPr>
        <w:t>MLCommons. Croissant format specification, version 1.0. 2024. https://mlcommons.org/croissant</w:t>
      </w:r>
    </w:p>
    <w:p>
      <w:pPr>
        <w:spacing w:after="40"/>
      </w:pPr>
      <w:r>
        <w:rPr>
          <w:sz w:val="20"/>
        </w:rPr>
        <w:t>Statistics Korea. Life tables, cause-of-death statistics and resident registration population. KOSIS, https://kosis.kr (accessed Sep 2026).</w:t>
      </w:r>
    </w:p>
    <w:p>
      <w:pPr>
        <w:spacing w:after="40"/>
      </w:pPr>
      <w:r>
        <w:rPr>
          <w:sz w:val="20"/>
        </w:rPr>
        <w:t>Sullivan DF. A single index of mortality and morbidity. HSMHA Health Reports. 1971;86(4):347–354.</w:t>
      </w:r>
    </w:p>
    <w:p>
      <w:pPr>
        <w:spacing w:after="40"/>
      </w:pPr>
      <w:r>
        <w:rPr>
          <w:sz w:val="20"/>
        </w:rPr>
        <w:t>United Nations, Department of Economic and Social Affairs. World Population Prospects 2024. New York: UN; 2024.</w:t>
      </w:r>
    </w:p>
    <w:p>
      <w:r>
        <w:br w:type="page"/>
      </w:r>
    </w:p>
    <w:p>
      <w:pPr>
        <w:pStyle w:val="Heading1"/>
      </w:pPr>
      <w:r>
        <w:t>Appendix A. Indicator list</w:t>
      </w:r>
    </w:p>
    <w:tbl>
      <w:tblPr>
        <w:tblStyle w:val="TableGrid"/>
        <w:tblW w:type="auto" w:w="0"/>
        <w:tblLayout w:type="fixed"/>
        <w:tblLook w:firstColumn="1" w:firstRow="1" w:lastColumn="0" w:lastRow="0" w:noHBand="0" w:noVBand="1" w:val="04A0"/>
        <w:tblLayout w:type="fixed"/>
      </w:tblPr>
      <w:tblGrid>
        <w:gridCol w:w="2494"/>
        <w:gridCol w:w="3742"/>
        <w:gridCol w:w="1701"/>
        <w:gridCol w:w="1020"/>
        <w:gridCol w:w="793"/>
      </w:tblGrid>
      <w:tr>
        <w:tc>
          <w:tcPr>
            <w:tcW w:type="dxa" w:w="2494"/>
          </w:tcPr>
          <w:p>
            <w:r/>
            <w:r>
              <w:rPr>
                <w:b/>
                <w:sz w:val="15"/>
              </w:rPr>
              <w:t>ID (KOSIS table)</w:t>
            </w:r>
          </w:p>
        </w:tc>
        <w:tc>
          <w:tcPr>
            <w:tcW w:type="dxa" w:w="3742"/>
          </w:tcPr>
          <w:p>
            <w:r/>
            <w:r>
              <w:rPr>
                <w:b/>
                <w:sz w:val="15"/>
              </w:rPr>
              <w:t>Indicator</w:t>
            </w:r>
          </w:p>
        </w:tc>
        <w:tc>
          <w:tcPr>
            <w:tcW w:type="dxa" w:w="1701"/>
          </w:tcPr>
          <w:p>
            <w:r/>
            <w:r>
              <w:rPr>
                <w:b/>
                <w:sz w:val="15"/>
              </w:rPr>
              <w:t>Population</w:t>
            </w:r>
          </w:p>
        </w:tc>
        <w:tc>
          <w:tcPr>
            <w:tcW w:type="dxa" w:w="1020"/>
          </w:tcPr>
          <w:p>
            <w:r/>
            <w:r>
              <w:rPr>
                <w:b/>
                <w:sz w:val="15"/>
              </w:rPr>
              <w:t>Years</w:t>
            </w:r>
          </w:p>
        </w:tc>
        <w:tc>
          <w:tcPr>
            <w:tcW w:type="dxa" w:w="794"/>
          </w:tcPr>
          <w:p>
            <w:r/>
            <w:r>
              <w:rPr>
                <w:b/>
                <w:sz w:val="15"/>
              </w:rPr>
              <w:t>Higher is</w:t>
            </w:r>
          </w:p>
        </w:tc>
      </w:tr>
      <w:tr>
        <w:tc>
          <w:tcPr>
            <w:tcW w:type="dxa" w:w="2494"/>
          </w:tcPr>
          <w:p>
            <w:r/>
            <w:r>
              <w:rPr>
                <w:sz w:val="15"/>
              </w:rPr>
              <w:t>DT_H_SM</w:t>
            </w:r>
          </w:p>
        </w:tc>
        <w:tc>
          <w:tcPr>
            <w:tcW w:type="dxa" w:w="3742"/>
          </w:tcPr>
          <w:p>
            <w:r/>
            <w:r>
              <w:rPr>
                <w:sz w:val="15"/>
              </w:rPr>
              <w:t>Current smoking rate</w:t>
            </w:r>
          </w:p>
        </w:tc>
        <w:tc>
          <w:tcPr>
            <w:tcW w:type="dxa" w:w="1701"/>
          </w:tcPr>
          <w:p>
            <w:r/>
            <w:r>
              <w:rPr>
                <w:sz w:val="15"/>
              </w:rPr>
              <w:t>Adults 19+</w:t>
            </w:r>
          </w:p>
        </w:tc>
        <w:tc>
          <w:tcPr>
            <w:tcW w:type="dxa" w:w="1020"/>
          </w:tcPr>
          <w:p>
            <w:r/>
            <w:r>
              <w:rPr>
                <w:sz w:val="15"/>
              </w:rPr>
              <w:t>2008–2025</w:t>
            </w:r>
          </w:p>
        </w:tc>
        <w:tc>
          <w:tcPr>
            <w:tcW w:type="dxa" w:w="794"/>
          </w:tcPr>
          <w:p>
            <w:r/>
            <w:r>
              <w:rPr>
                <w:sz w:val="15"/>
              </w:rPr>
              <w:t>worse</w:t>
            </w:r>
          </w:p>
        </w:tc>
      </w:tr>
      <w:tr>
        <w:tc>
          <w:tcPr>
            <w:tcW w:type="dxa" w:w="2494"/>
          </w:tcPr>
          <w:p>
            <w:r/>
            <w:r>
              <w:rPr>
                <w:sz w:val="15"/>
              </w:rPr>
              <w:t>DT_H_SM_MALE</w:t>
            </w:r>
          </w:p>
        </w:tc>
        <w:tc>
          <w:tcPr>
            <w:tcW w:type="dxa" w:w="3742"/>
          </w:tcPr>
          <w:p>
            <w:r/>
            <w:r>
              <w:rPr>
                <w:sz w:val="15"/>
              </w:rPr>
              <w:t>Current smoking rate, men</w:t>
            </w:r>
          </w:p>
        </w:tc>
        <w:tc>
          <w:tcPr>
            <w:tcW w:type="dxa" w:w="1701"/>
          </w:tcPr>
          <w:p>
            <w:r/>
            <w:r>
              <w:rPr>
                <w:sz w:val="15"/>
              </w:rPr>
              <w:t>Men 19+</w:t>
            </w:r>
          </w:p>
        </w:tc>
        <w:tc>
          <w:tcPr>
            <w:tcW w:type="dxa" w:w="1020"/>
          </w:tcPr>
          <w:p>
            <w:r/>
            <w:r>
              <w:rPr>
                <w:sz w:val="15"/>
              </w:rPr>
              <w:t>2008–2025</w:t>
            </w:r>
          </w:p>
        </w:tc>
        <w:tc>
          <w:tcPr>
            <w:tcW w:type="dxa" w:w="794"/>
          </w:tcPr>
          <w:p>
            <w:r/>
            <w:r>
              <w:rPr>
                <w:sz w:val="15"/>
              </w:rPr>
              <w:t>worse</w:t>
            </w:r>
          </w:p>
        </w:tc>
      </w:tr>
      <w:tr>
        <w:tc>
          <w:tcPr>
            <w:tcW w:type="dxa" w:w="2494"/>
          </w:tcPr>
          <w:p>
            <w:r/>
            <w:r>
              <w:rPr>
                <w:sz w:val="15"/>
              </w:rPr>
              <w:t>DT_TOBACCO_PRODUCT</w:t>
            </w:r>
          </w:p>
        </w:tc>
        <w:tc>
          <w:tcPr>
            <w:tcW w:type="dxa" w:w="3742"/>
          </w:tcPr>
          <w:p>
            <w:r/>
            <w:r>
              <w:rPr>
                <w:sz w:val="15"/>
              </w:rPr>
              <w:t>Current tobacco product use rate (incl. e-cigarettes)</w:t>
            </w:r>
          </w:p>
        </w:tc>
        <w:tc>
          <w:tcPr>
            <w:tcW w:type="dxa" w:w="1701"/>
          </w:tcPr>
          <w:p>
            <w:r/>
            <w:r>
              <w:rPr>
                <w:sz w:val="15"/>
              </w:rPr>
              <w:t>Adults 19+</w:t>
            </w:r>
          </w:p>
        </w:tc>
        <w:tc>
          <w:tcPr>
            <w:tcW w:type="dxa" w:w="1020"/>
          </w:tcPr>
          <w:p>
            <w:r/>
            <w:r>
              <w:rPr>
                <w:sz w:val="15"/>
              </w:rPr>
              <w:t>2019–2025</w:t>
            </w:r>
          </w:p>
        </w:tc>
        <w:tc>
          <w:tcPr>
            <w:tcW w:type="dxa" w:w="794"/>
          </w:tcPr>
          <w:p>
            <w:r/>
            <w:r>
              <w:rPr>
                <w:sz w:val="15"/>
              </w:rPr>
              <w:t>worse</w:t>
            </w:r>
          </w:p>
        </w:tc>
      </w:tr>
      <w:tr>
        <w:tc>
          <w:tcPr>
            <w:tcW w:type="dxa" w:w="2494"/>
          </w:tcPr>
          <w:p>
            <w:r/>
            <w:r>
              <w:rPr>
                <w:sz w:val="15"/>
              </w:rPr>
              <w:t>DT_SM_TRY_V2</w:t>
            </w:r>
          </w:p>
        </w:tc>
        <w:tc>
          <w:tcPr>
            <w:tcW w:type="dxa" w:w="3742"/>
          </w:tcPr>
          <w:p>
            <w:r/>
            <w:r>
              <w:rPr>
                <w:sz w:val="15"/>
              </w:rPr>
              <w:t>Quit attempt rate among current tobacco users</w:t>
            </w:r>
          </w:p>
        </w:tc>
        <w:tc>
          <w:tcPr>
            <w:tcW w:type="dxa" w:w="1701"/>
          </w:tcPr>
          <w:p>
            <w:r/>
            <w:r>
              <w:rPr>
                <w:sz w:val="15"/>
              </w:rPr>
              <w:t>Current tobacco users 19+</w:t>
            </w:r>
          </w:p>
        </w:tc>
        <w:tc>
          <w:tcPr>
            <w:tcW w:type="dxa" w:w="1020"/>
          </w:tcPr>
          <w:p>
            <w:r/>
            <w:r>
              <w:rPr>
                <w:sz w:val="15"/>
              </w:rPr>
              <w:t>2020–2025</w:t>
            </w:r>
          </w:p>
        </w:tc>
        <w:tc>
          <w:tcPr>
            <w:tcW w:type="dxa" w:w="794"/>
          </w:tcPr>
          <w:p>
            <w:r/>
            <w:r>
              <w:rPr>
                <w:sz w:val="15"/>
              </w:rPr>
              <w:t>better</w:t>
            </w:r>
          </w:p>
        </w:tc>
      </w:tr>
      <w:tr>
        <w:tc>
          <w:tcPr>
            <w:tcW w:type="dxa" w:w="2494"/>
          </w:tcPr>
          <w:p>
            <w:r/>
            <w:r>
              <w:rPr>
                <w:sz w:val="15"/>
              </w:rPr>
              <w:t>DT_117075_SM_IND_WORK_V2</w:t>
            </w:r>
          </w:p>
        </w:tc>
        <w:tc>
          <w:tcPr>
            <w:tcW w:type="dxa" w:w="3742"/>
          </w:tcPr>
          <w:p>
            <w:r/>
            <w:r>
              <w:rPr>
                <w:sz w:val="15"/>
              </w:rPr>
              <w:t>Second-hand smoke exposure at indoor workplace (non-users)</w:t>
            </w:r>
          </w:p>
        </w:tc>
        <w:tc>
          <w:tcPr>
            <w:tcW w:type="dxa" w:w="1701"/>
          </w:tcPr>
          <w:p>
            <w:r/>
            <w:r>
              <w:rPr>
                <w:sz w:val="15"/>
              </w:rPr>
              <w:t>Non-users 19+</w:t>
            </w:r>
          </w:p>
        </w:tc>
        <w:tc>
          <w:tcPr>
            <w:tcW w:type="dxa" w:w="1020"/>
          </w:tcPr>
          <w:p>
            <w:r/>
            <w:r>
              <w:rPr>
                <w:sz w:val="15"/>
              </w:rPr>
              <w:t>2020–2025</w:t>
            </w:r>
          </w:p>
        </w:tc>
        <w:tc>
          <w:tcPr>
            <w:tcW w:type="dxa" w:w="794"/>
          </w:tcPr>
          <w:p>
            <w:r/>
            <w:r>
              <w:rPr>
                <w:sz w:val="15"/>
              </w:rPr>
              <w:t>worse</w:t>
            </w:r>
          </w:p>
        </w:tc>
      </w:tr>
      <w:tr>
        <w:tc>
          <w:tcPr>
            <w:tcW w:type="dxa" w:w="2494"/>
          </w:tcPr>
          <w:p>
            <w:r/>
            <w:r>
              <w:rPr>
                <w:sz w:val="15"/>
              </w:rPr>
              <w:t>DT_H_DR_MONTH</w:t>
            </w:r>
          </w:p>
        </w:tc>
        <w:tc>
          <w:tcPr>
            <w:tcW w:type="dxa" w:w="3742"/>
          </w:tcPr>
          <w:p>
            <w:r/>
            <w:r>
              <w:rPr>
                <w:sz w:val="15"/>
              </w:rPr>
              <w:t>Monthly drinking rate</w:t>
            </w:r>
          </w:p>
        </w:tc>
        <w:tc>
          <w:tcPr>
            <w:tcW w:type="dxa" w:w="1701"/>
          </w:tcPr>
          <w:p>
            <w:r/>
            <w:r>
              <w:rPr>
                <w:sz w:val="15"/>
              </w:rPr>
              <w:t>Adults 19+</w:t>
            </w:r>
          </w:p>
        </w:tc>
        <w:tc>
          <w:tcPr>
            <w:tcW w:type="dxa" w:w="1020"/>
          </w:tcPr>
          <w:p>
            <w:r/>
            <w:r>
              <w:rPr>
                <w:sz w:val="15"/>
              </w:rPr>
              <w:t>2008–2025</w:t>
            </w:r>
          </w:p>
        </w:tc>
        <w:tc>
          <w:tcPr>
            <w:tcW w:type="dxa" w:w="794"/>
          </w:tcPr>
          <w:p>
            <w:r/>
            <w:r>
              <w:rPr>
                <w:sz w:val="15"/>
              </w:rPr>
              <w:t>worse</w:t>
            </w:r>
          </w:p>
        </w:tc>
      </w:tr>
      <w:tr>
        <w:tc>
          <w:tcPr>
            <w:tcW w:type="dxa" w:w="2494"/>
          </w:tcPr>
          <w:p>
            <w:r/>
            <w:r>
              <w:rPr>
                <w:sz w:val="15"/>
              </w:rPr>
              <w:t>DT_117075_H_DR_HIGH_WH</w:t>
            </w:r>
          </w:p>
        </w:tc>
        <w:tc>
          <w:tcPr>
            <w:tcW w:type="dxa" w:w="3742"/>
          </w:tcPr>
          <w:p>
            <w:r/>
            <w:r>
              <w:rPr>
                <w:sz w:val="15"/>
              </w:rPr>
              <w:t>High-risk drinking rate</w:t>
            </w:r>
          </w:p>
        </w:tc>
        <w:tc>
          <w:tcPr>
            <w:tcW w:type="dxa" w:w="1701"/>
          </w:tcPr>
          <w:p>
            <w:r/>
            <w:r>
              <w:rPr>
                <w:sz w:val="15"/>
              </w:rPr>
              <w:t>Adults 19+</w:t>
            </w:r>
          </w:p>
        </w:tc>
        <w:tc>
          <w:tcPr>
            <w:tcW w:type="dxa" w:w="1020"/>
          </w:tcPr>
          <w:p>
            <w:r/>
            <w:r>
              <w:rPr>
                <w:sz w:val="15"/>
              </w:rPr>
              <w:t>2008–2025</w:t>
            </w:r>
          </w:p>
        </w:tc>
        <w:tc>
          <w:tcPr>
            <w:tcW w:type="dxa" w:w="794"/>
          </w:tcPr>
          <w:p>
            <w:r/>
            <w:r>
              <w:rPr>
                <w:sz w:val="15"/>
              </w:rPr>
              <w:t>worse</w:t>
            </w:r>
          </w:p>
        </w:tc>
      </w:tr>
      <w:tr>
        <w:tc>
          <w:tcPr>
            <w:tcW w:type="dxa" w:w="2494"/>
          </w:tcPr>
          <w:p>
            <w:r/>
            <w:r>
              <w:rPr>
                <w:sz w:val="15"/>
              </w:rPr>
              <w:t>DT_H_DR_HIGH</w:t>
            </w:r>
          </w:p>
        </w:tc>
        <w:tc>
          <w:tcPr>
            <w:tcW w:type="dxa" w:w="3742"/>
          </w:tcPr>
          <w:p>
            <w:r/>
            <w:r>
              <w:rPr>
                <w:sz w:val="15"/>
              </w:rPr>
              <w:t>High-risk drinking rate among annual drinkers</w:t>
            </w:r>
          </w:p>
        </w:tc>
        <w:tc>
          <w:tcPr>
            <w:tcW w:type="dxa" w:w="1701"/>
          </w:tcPr>
          <w:p>
            <w:r/>
            <w:r>
              <w:rPr>
                <w:sz w:val="15"/>
              </w:rPr>
              <w:t>Annual drinkers 19+</w:t>
            </w:r>
          </w:p>
        </w:tc>
        <w:tc>
          <w:tcPr>
            <w:tcW w:type="dxa" w:w="1020"/>
          </w:tcPr>
          <w:p>
            <w:r/>
            <w:r>
              <w:rPr>
                <w:sz w:val="15"/>
              </w:rPr>
              <w:t>2008–2025</w:t>
            </w:r>
          </w:p>
        </w:tc>
        <w:tc>
          <w:tcPr>
            <w:tcW w:type="dxa" w:w="794"/>
          </w:tcPr>
          <w:p>
            <w:r/>
            <w:r>
              <w:rPr>
                <w:sz w:val="15"/>
              </w:rPr>
              <w:t>worse</w:t>
            </w:r>
          </w:p>
        </w:tc>
      </w:tr>
      <w:tr>
        <w:tc>
          <w:tcPr>
            <w:tcW w:type="dxa" w:w="2494"/>
          </w:tcPr>
          <w:p>
            <w:r/>
            <w:r>
              <w:rPr>
                <w:sz w:val="15"/>
              </w:rPr>
              <w:t>DT_117075_H_DR_DRIV</w:t>
            </w:r>
          </w:p>
        </w:tc>
        <w:tc>
          <w:tcPr>
            <w:tcW w:type="dxa" w:w="3742"/>
          </w:tcPr>
          <w:p>
            <w:r/>
            <w:r>
              <w:rPr>
                <w:sz w:val="15"/>
              </w:rPr>
              <w:t>Drink-driving experience in past year (drivers)</w:t>
            </w:r>
          </w:p>
        </w:tc>
        <w:tc>
          <w:tcPr>
            <w:tcW w:type="dxa" w:w="1701"/>
          </w:tcPr>
          <w:p>
            <w:r/>
            <w:r>
              <w:rPr>
                <w:sz w:val="15"/>
              </w:rPr>
              <w:t>Drivers 19+</w:t>
            </w:r>
          </w:p>
        </w:tc>
        <w:tc>
          <w:tcPr>
            <w:tcW w:type="dxa" w:w="1020"/>
          </w:tcPr>
          <w:p>
            <w:r/>
            <w:r>
              <w:rPr>
                <w:sz w:val="15"/>
              </w:rPr>
              <w:t>2009–2025</w:t>
            </w:r>
          </w:p>
        </w:tc>
        <w:tc>
          <w:tcPr>
            <w:tcW w:type="dxa" w:w="794"/>
          </w:tcPr>
          <w:p>
            <w:r/>
            <w:r>
              <w:rPr>
                <w:sz w:val="15"/>
              </w:rPr>
              <w:t>worse</w:t>
            </w:r>
          </w:p>
        </w:tc>
      </w:tr>
      <w:tr>
        <w:tc>
          <w:tcPr>
            <w:tcW w:type="dxa" w:w="2494"/>
          </w:tcPr>
          <w:p>
            <w:r/>
            <w:r>
              <w:rPr>
                <w:sz w:val="15"/>
              </w:rPr>
              <w:t>DT_H_EX_WALK</w:t>
            </w:r>
          </w:p>
        </w:tc>
        <w:tc>
          <w:tcPr>
            <w:tcW w:type="dxa" w:w="3742"/>
          </w:tcPr>
          <w:p>
            <w:r/>
            <w:r>
              <w:rPr>
                <w:sz w:val="15"/>
              </w:rPr>
              <w:t>Walking practice rate</w:t>
            </w:r>
          </w:p>
        </w:tc>
        <w:tc>
          <w:tcPr>
            <w:tcW w:type="dxa" w:w="1701"/>
          </w:tcPr>
          <w:p>
            <w:r/>
            <w:r>
              <w:rPr>
                <w:sz w:val="15"/>
              </w:rPr>
              <w:t>Adults 19+</w:t>
            </w:r>
          </w:p>
        </w:tc>
        <w:tc>
          <w:tcPr>
            <w:tcW w:type="dxa" w:w="1020"/>
          </w:tcPr>
          <w:p>
            <w:r/>
            <w:r>
              <w:rPr>
                <w:sz w:val="15"/>
              </w:rPr>
              <w:t>2008–2025</w:t>
            </w:r>
          </w:p>
        </w:tc>
        <w:tc>
          <w:tcPr>
            <w:tcW w:type="dxa" w:w="794"/>
          </w:tcPr>
          <w:p>
            <w:r/>
            <w:r>
              <w:rPr>
                <w:sz w:val="15"/>
              </w:rPr>
              <w:t>better</w:t>
            </w:r>
          </w:p>
        </w:tc>
      </w:tr>
      <w:tr>
        <w:tc>
          <w:tcPr>
            <w:tcW w:type="dxa" w:w="2494"/>
          </w:tcPr>
          <w:p>
            <w:r/>
            <w:r>
              <w:rPr>
                <w:sz w:val="15"/>
              </w:rPr>
              <w:t>DT_H_EX_PHY</w:t>
            </w:r>
          </w:p>
        </w:tc>
        <w:tc>
          <w:tcPr>
            <w:tcW w:type="dxa" w:w="3742"/>
          </w:tcPr>
          <w:p>
            <w:r/>
            <w:r>
              <w:rPr>
                <w:sz w:val="15"/>
              </w:rPr>
              <w:t>Moderate-or-vigorous physical activity rate</w:t>
            </w:r>
          </w:p>
        </w:tc>
        <w:tc>
          <w:tcPr>
            <w:tcW w:type="dxa" w:w="1701"/>
          </w:tcPr>
          <w:p>
            <w:r/>
            <w:r>
              <w:rPr>
                <w:sz w:val="15"/>
              </w:rPr>
              <w:t>Adults 19+</w:t>
            </w:r>
          </w:p>
        </w:tc>
        <w:tc>
          <w:tcPr>
            <w:tcW w:type="dxa" w:w="1020"/>
          </w:tcPr>
          <w:p>
            <w:r/>
            <w:r>
              <w:rPr>
                <w:sz w:val="15"/>
              </w:rPr>
              <w:t>2009–2025</w:t>
            </w:r>
          </w:p>
        </w:tc>
        <w:tc>
          <w:tcPr>
            <w:tcW w:type="dxa" w:w="794"/>
          </w:tcPr>
          <w:p>
            <w:r/>
            <w:r>
              <w:rPr>
                <w:sz w:val="15"/>
              </w:rPr>
              <w:t>better</w:t>
            </w:r>
          </w:p>
        </w:tc>
      </w:tr>
      <w:tr>
        <w:tc>
          <w:tcPr>
            <w:tcW w:type="dxa" w:w="2494"/>
          </w:tcPr>
          <w:p>
            <w:r/>
            <w:r>
              <w:rPr>
                <w:sz w:val="15"/>
              </w:rPr>
              <w:t>DT_117075_H_HEALTHY</w:t>
            </w:r>
          </w:p>
        </w:tc>
        <w:tc>
          <w:tcPr>
            <w:tcW w:type="dxa" w:w="3742"/>
          </w:tcPr>
          <w:p>
            <w:r/>
            <w:r>
              <w:rPr>
                <w:sz w:val="15"/>
              </w:rPr>
              <w:t>Healthy lifestyle practice rate (no smoking, moderate drinking, walking)</w:t>
            </w:r>
          </w:p>
        </w:tc>
        <w:tc>
          <w:tcPr>
            <w:tcW w:type="dxa" w:w="1701"/>
          </w:tcPr>
          <w:p>
            <w:r/>
            <w:r>
              <w:rPr>
                <w:sz w:val="15"/>
              </w:rPr>
              <w:t>Adults 19+</w:t>
            </w:r>
          </w:p>
        </w:tc>
        <w:tc>
          <w:tcPr>
            <w:tcW w:type="dxa" w:w="1020"/>
          </w:tcPr>
          <w:p>
            <w:r/>
            <w:r>
              <w:rPr>
                <w:sz w:val="15"/>
              </w:rPr>
              <w:t>2008–2025</w:t>
            </w:r>
          </w:p>
        </w:tc>
        <w:tc>
          <w:tcPr>
            <w:tcW w:type="dxa" w:w="794"/>
          </w:tcPr>
          <w:p>
            <w:r/>
            <w:r>
              <w:rPr>
                <w:sz w:val="15"/>
              </w:rPr>
              <w:t>better</w:t>
            </w:r>
          </w:p>
        </w:tc>
      </w:tr>
      <w:tr>
        <w:tc>
          <w:tcPr>
            <w:tcW w:type="dxa" w:w="2494"/>
          </w:tcPr>
          <w:p>
            <w:r/>
            <w:r>
              <w:rPr>
                <w:sz w:val="15"/>
              </w:rPr>
              <w:t>DT_H_OBE_OBE</w:t>
            </w:r>
          </w:p>
        </w:tc>
        <w:tc>
          <w:tcPr>
            <w:tcW w:type="dxa" w:w="3742"/>
          </w:tcPr>
          <w:p>
            <w:r/>
            <w:r>
              <w:rPr>
                <w:sz w:val="15"/>
              </w:rPr>
              <w:t>Obesity prevalence (self-reported BMI&gt;=25)</w:t>
            </w:r>
          </w:p>
        </w:tc>
        <w:tc>
          <w:tcPr>
            <w:tcW w:type="dxa" w:w="1701"/>
          </w:tcPr>
          <w:p>
            <w:r/>
            <w:r>
              <w:rPr>
                <w:sz w:val="15"/>
              </w:rPr>
              <w:t>Adults 19+</w:t>
            </w:r>
          </w:p>
        </w:tc>
        <w:tc>
          <w:tcPr>
            <w:tcW w:type="dxa" w:w="1020"/>
          </w:tcPr>
          <w:p>
            <w:r/>
            <w:r>
              <w:rPr>
                <w:sz w:val="15"/>
              </w:rPr>
              <w:t>2008–2025</w:t>
            </w:r>
          </w:p>
        </w:tc>
        <w:tc>
          <w:tcPr>
            <w:tcW w:type="dxa" w:w="794"/>
          </w:tcPr>
          <w:p>
            <w:r/>
            <w:r>
              <w:rPr>
                <w:sz w:val="15"/>
              </w:rPr>
              <w:t>worse</w:t>
            </w:r>
          </w:p>
        </w:tc>
      </w:tr>
      <w:tr>
        <w:tc>
          <w:tcPr>
            <w:tcW w:type="dxa" w:w="2494"/>
          </w:tcPr>
          <w:p>
            <w:r/>
            <w:r>
              <w:rPr>
                <w:sz w:val="15"/>
              </w:rPr>
              <w:t>DT_H_OBE_CONTROL</w:t>
            </w:r>
          </w:p>
        </w:tc>
        <w:tc>
          <w:tcPr>
            <w:tcW w:type="dxa" w:w="3742"/>
          </w:tcPr>
          <w:p>
            <w:r/>
            <w:r>
              <w:rPr>
                <w:sz w:val="15"/>
              </w:rPr>
              <w:t>Weight control attempt rate</w:t>
            </w:r>
          </w:p>
        </w:tc>
        <w:tc>
          <w:tcPr>
            <w:tcW w:type="dxa" w:w="1701"/>
          </w:tcPr>
          <w:p>
            <w:r/>
            <w:r>
              <w:rPr>
                <w:sz w:val="15"/>
              </w:rPr>
              <w:t>Adults 19+</w:t>
            </w:r>
          </w:p>
        </w:tc>
        <w:tc>
          <w:tcPr>
            <w:tcW w:type="dxa" w:w="1020"/>
          </w:tcPr>
          <w:p>
            <w:r/>
            <w:r>
              <w:rPr>
                <w:sz w:val="15"/>
              </w:rPr>
              <w:t>2008–2025</w:t>
            </w:r>
          </w:p>
        </w:tc>
        <w:tc>
          <w:tcPr>
            <w:tcW w:type="dxa" w:w="794"/>
          </w:tcPr>
          <w:p>
            <w:r/>
            <w:r>
              <w:rPr>
                <w:sz w:val="15"/>
              </w:rPr>
              <w:t>better</w:t>
            </w:r>
          </w:p>
        </w:tc>
      </w:tr>
      <w:tr>
        <w:tc>
          <w:tcPr>
            <w:tcW w:type="dxa" w:w="2494"/>
          </w:tcPr>
          <w:p>
            <w:r/>
            <w:r>
              <w:rPr>
                <w:sz w:val="15"/>
              </w:rPr>
              <w:t>DT_117075_DIE_BF02</w:t>
            </w:r>
          </w:p>
        </w:tc>
        <w:tc>
          <w:tcPr>
            <w:tcW w:type="dxa" w:w="3742"/>
          </w:tcPr>
          <w:p>
            <w:r/>
            <w:r>
              <w:rPr>
                <w:sz w:val="15"/>
              </w:rPr>
              <w:t>Breakfast practice rate</w:t>
            </w:r>
          </w:p>
        </w:tc>
        <w:tc>
          <w:tcPr>
            <w:tcW w:type="dxa" w:w="1701"/>
          </w:tcPr>
          <w:p>
            <w:r/>
            <w:r>
              <w:rPr>
                <w:sz w:val="15"/>
              </w:rPr>
              <w:t>Adults 19+</w:t>
            </w:r>
          </w:p>
        </w:tc>
        <w:tc>
          <w:tcPr>
            <w:tcW w:type="dxa" w:w="1020"/>
          </w:tcPr>
          <w:p>
            <w:r/>
            <w:r>
              <w:rPr>
                <w:sz w:val="15"/>
              </w:rPr>
              <w:t>2019–2025</w:t>
            </w:r>
          </w:p>
        </w:tc>
        <w:tc>
          <w:tcPr>
            <w:tcW w:type="dxa" w:w="794"/>
          </w:tcPr>
          <w:p>
            <w:r/>
            <w:r>
              <w:rPr>
                <w:sz w:val="15"/>
              </w:rPr>
              <w:t>better</w:t>
            </w:r>
          </w:p>
        </w:tc>
      </w:tr>
      <w:tr>
        <w:tc>
          <w:tcPr>
            <w:tcW w:type="dxa" w:w="2494"/>
          </w:tcPr>
          <w:p>
            <w:r/>
            <w:r>
              <w:rPr>
                <w:sz w:val="15"/>
              </w:rPr>
              <w:t>DT_11775_NUT_LABEL_UTIL</w:t>
            </w:r>
          </w:p>
        </w:tc>
        <w:tc>
          <w:tcPr>
            <w:tcW w:type="dxa" w:w="3742"/>
          </w:tcPr>
          <w:p>
            <w:r/>
            <w:r>
              <w:rPr>
                <w:sz w:val="15"/>
              </w:rPr>
              <w:t>Nutrition label use rate</w:t>
            </w:r>
          </w:p>
        </w:tc>
        <w:tc>
          <w:tcPr>
            <w:tcW w:type="dxa" w:w="1701"/>
          </w:tcPr>
          <w:p>
            <w:r/>
            <w:r>
              <w:rPr>
                <w:sz w:val="15"/>
              </w:rPr>
              <w:t>Adults 19+</w:t>
            </w:r>
          </w:p>
        </w:tc>
        <w:tc>
          <w:tcPr>
            <w:tcW w:type="dxa" w:w="1020"/>
          </w:tcPr>
          <w:p>
            <w:r/>
            <w:r>
              <w:rPr>
                <w:sz w:val="15"/>
              </w:rPr>
              <w:t>2014–2025</w:t>
            </w:r>
          </w:p>
        </w:tc>
        <w:tc>
          <w:tcPr>
            <w:tcW w:type="dxa" w:w="794"/>
          </w:tcPr>
          <w:p>
            <w:r/>
            <w:r>
              <w:rPr>
                <w:sz w:val="15"/>
              </w:rPr>
              <w:t>better</w:t>
            </w:r>
          </w:p>
        </w:tc>
      </w:tr>
      <w:tr>
        <w:tc>
          <w:tcPr>
            <w:tcW w:type="dxa" w:w="2494"/>
          </w:tcPr>
          <w:p>
            <w:r/>
            <w:r>
              <w:rPr>
                <w:sz w:val="15"/>
              </w:rPr>
              <w:t>DT_H_MENTAL_STRESS</w:t>
            </w:r>
          </w:p>
        </w:tc>
        <w:tc>
          <w:tcPr>
            <w:tcW w:type="dxa" w:w="3742"/>
          </w:tcPr>
          <w:p>
            <w:r/>
            <w:r>
              <w:rPr>
                <w:sz w:val="15"/>
              </w:rPr>
              <w:t>Perceived stress rate</w:t>
            </w:r>
          </w:p>
        </w:tc>
        <w:tc>
          <w:tcPr>
            <w:tcW w:type="dxa" w:w="1701"/>
          </w:tcPr>
          <w:p>
            <w:r/>
            <w:r>
              <w:rPr>
                <w:sz w:val="15"/>
              </w:rPr>
              <w:t>Adults 19+</w:t>
            </w:r>
          </w:p>
        </w:tc>
        <w:tc>
          <w:tcPr>
            <w:tcW w:type="dxa" w:w="1020"/>
          </w:tcPr>
          <w:p>
            <w:r/>
            <w:r>
              <w:rPr>
                <w:sz w:val="15"/>
              </w:rPr>
              <w:t>2008–2025</w:t>
            </w:r>
          </w:p>
        </w:tc>
        <w:tc>
          <w:tcPr>
            <w:tcW w:type="dxa" w:w="794"/>
          </w:tcPr>
          <w:p>
            <w:r/>
            <w:r>
              <w:rPr>
                <w:sz w:val="15"/>
              </w:rPr>
              <w:t>worse</w:t>
            </w:r>
          </w:p>
        </w:tc>
      </w:tr>
      <w:tr>
        <w:tc>
          <w:tcPr>
            <w:tcW w:type="dxa" w:w="2494"/>
          </w:tcPr>
          <w:p>
            <w:r/>
            <w:r>
              <w:rPr>
                <w:sz w:val="15"/>
              </w:rPr>
              <w:t>DT_H_MENTAL_DEPRESS</w:t>
            </w:r>
          </w:p>
        </w:tc>
        <w:tc>
          <w:tcPr>
            <w:tcW w:type="dxa" w:w="3742"/>
          </w:tcPr>
          <w:p>
            <w:r/>
            <w:r>
              <w:rPr>
                <w:sz w:val="15"/>
              </w:rPr>
              <w:t>Depressive mood experience in past year</w:t>
            </w:r>
          </w:p>
        </w:tc>
        <w:tc>
          <w:tcPr>
            <w:tcW w:type="dxa" w:w="1701"/>
          </w:tcPr>
          <w:p>
            <w:r/>
            <w:r>
              <w:rPr>
                <w:sz w:val="15"/>
              </w:rPr>
              <w:t>Adults 19+</w:t>
            </w:r>
          </w:p>
        </w:tc>
        <w:tc>
          <w:tcPr>
            <w:tcW w:type="dxa" w:w="1020"/>
          </w:tcPr>
          <w:p>
            <w:r/>
            <w:r>
              <w:rPr>
                <w:sz w:val="15"/>
              </w:rPr>
              <w:t>2008–2025</w:t>
            </w:r>
          </w:p>
        </w:tc>
        <w:tc>
          <w:tcPr>
            <w:tcW w:type="dxa" w:w="794"/>
          </w:tcPr>
          <w:p>
            <w:r/>
            <w:r>
              <w:rPr>
                <w:sz w:val="15"/>
              </w:rPr>
              <w:t>worse</w:t>
            </w:r>
          </w:p>
        </w:tc>
      </w:tr>
      <w:tr>
        <w:tc>
          <w:tcPr>
            <w:tcW w:type="dxa" w:w="2494"/>
          </w:tcPr>
          <w:p>
            <w:r/>
            <w:r>
              <w:rPr>
                <w:sz w:val="15"/>
              </w:rPr>
              <w:t>DT_117075_H_MENTAL_DEPRESS_SYM</w:t>
            </w:r>
          </w:p>
        </w:tc>
        <w:tc>
          <w:tcPr>
            <w:tcW w:type="dxa" w:w="3742"/>
          </w:tcPr>
          <w:p>
            <w:r/>
            <w:r>
              <w:rPr>
                <w:sz w:val="15"/>
              </w:rPr>
              <w:t>Depressive symptom prevalence (PHQ-9&gt;=10)</w:t>
            </w:r>
          </w:p>
        </w:tc>
        <w:tc>
          <w:tcPr>
            <w:tcW w:type="dxa" w:w="1701"/>
          </w:tcPr>
          <w:p>
            <w:r/>
            <w:r>
              <w:rPr>
                <w:sz w:val="15"/>
              </w:rPr>
              <w:t>Adults 19+</w:t>
            </w:r>
          </w:p>
        </w:tc>
        <w:tc>
          <w:tcPr>
            <w:tcW w:type="dxa" w:w="1020"/>
          </w:tcPr>
          <w:p>
            <w:r/>
            <w:r>
              <w:rPr>
                <w:sz w:val="15"/>
              </w:rPr>
              <w:t>2017–2025</w:t>
            </w:r>
          </w:p>
        </w:tc>
        <w:tc>
          <w:tcPr>
            <w:tcW w:type="dxa" w:w="794"/>
          </w:tcPr>
          <w:p>
            <w:r/>
            <w:r>
              <w:rPr>
                <w:sz w:val="15"/>
              </w:rPr>
              <w:t>worse</w:t>
            </w:r>
          </w:p>
        </w:tc>
      </w:tr>
      <w:tr>
        <w:tc>
          <w:tcPr>
            <w:tcW w:type="dxa" w:w="2494"/>
          </w:tcPr>
          <w:p>
            <w:r/>
            <w:r>
              <w:rPr>
                <w:sz w:val="15"/>
              </w:rPr>
              <w:t>DT_H_OR_BRUSH</w:t>
            </w:r>
          </w:p>
        </w:tc>
        <w:tc>
          <w:tcPr>
            <w:tcW w:type="dxa" w:w="3742"/>
          </w:tcPr>
          <w:p>
            <w:r/>
            <w:r>
              <w:rPr>
                <w:sz w:val="15"/>
              </w:rPr>
              <w:t>Tooth brushing after lunch</w:t>
            </w:r>
          </w:p>
        </w:tc>
        <w:tc>
          <w:tcPr>
            <w:tcW w:type="dxa" w:w="1701"/>
          </w:tcPr>
          <w:p>
            <w:r/>
            <w:r>
              <w:rPr>
                <w:sz w:val="15"/>
              </w:rPr>
              <w:t>Adults 19+</w:t>
            </w:r>
          </w:p>
        </w:tc>
        <w:tc>
          <w:tcPr>
            <w:tcW w:type="dxa" w:w="1020"/>
          </w:tcPr>
          <w:p>
            <w:r/>
            <w:r>
              <w:rPr>
                <w:sz w:val="15"/>
              </w:rPr>
              <w:t>2014–2025</w:t>
            </w:r>
          </w:p>
        </w:tc>
        <w:tc>
          <w:tcPr>
            <w:tcW w:type="dxa" w:w="794"/>
          </w:tcPr>
          <w:p>
            <w:r/>
            <w:r>
              <w:rPr>
                <w:sz w:val="15"/>
              </w:rPr>
              <w:t>better</w:t>
            </w:r>
          </w:p>
        </w:tc>
      </w:tr>
      <w:tr>
        <w:tc>
          <w:tcPr>
            <w:tcW w:type="dxa" w:w="2494"/>
          </w:tcPr>
          <w:p>
            <w:r/>
            <w:r>
              <w:rPr>
                <w:sz w:val="15"/>
              </w:rPr>
              <w:t>DT_H_OR_INCONV</w:t>
            </w:r>
          </w:p>
        </w:tc>
        <w:tc>
          <w:tcPr>
            <w:tcW w:type="dxa" w:w="3742"/>
          </w:tcPr>
          <w:p>
            <w:r/>
            <w:r>
              <w:rPr>
                <w:sz w:val="15"/>
              </w:rPr>
              <w:t>Chewing difficulty, older adults</w:t>
            </w:r>
          </w:p>
        </w:tc>
        <w:tc>
          <w:tcPr>
            <w:tcW w:type="dxa" w:w="1701"/>
          </w:tcPr>
          <w:p>
            <w:r/>
            <w:r>
              <w:rPr>
                <w:sz w:val="15"/>
              </w:rPr>
              <w:t>Adults 65+</w:t>
            </w:r>
          </w:p>
        </w:tc>
        <w:tc>
          <w:tcPr>
            <w:tcW w:type="dxa" w:w="1020"/>
          </w:tcPr>
          <w:p>
            <w:r/>
            <w:r>
              <w:rPr>
                <w:sz w:val="15"/>
              </w:rPr>
              <w:t>2008–2025</w:t>
            </w:r>
          </w:p>
        </w:tc>
        <w:tc>
          <w:tcPr>
            <w:tcW w:type="dxa" w:w="794"/>
          </w:tcPr>
          <w:p>
            <w:r/>
            <w:r>
              <w:rPr>
                <w:sz w:val="15"/>
              </w:rPr>
              <w:t>worse</w:t>
            </w:r>
          </w:p>
        </w:tc>
      </w:tr>
      <w:tr>
        <w:tc>
          <w:tcPr>
            <w:tcW w:type="dxa" w:w="2494"/>
          </w:tcPr>
          <w:p>
            <w:r/>
            <w:r>
              <w:rPr>
                <w:sz w:val="15"/>
              </w:rPr>
              <w:t>DT_HYPER_DOCTOR</w:t>
            </w:r>
          </w:p>
        </w:tc>
        <w:tc>
          <w:tcPr>
            <w:tcW w:type="dxa" w:w="3742"/>
          </w:tcPr>
          <w:p>
            <w:r/>
            <w:r>
              <w:rPr>
                <w:sz w:val="15"/>
              </w:rPr>
              <w:t>Physician-diagnosed hypertension prevalence</w:t>
            </w:r>
          </w:p>
        </w:tc>
        <w:tc>
          <w:tcPr>
            <w:tcW w:type="dxa" w:w="1701"/>
          </w:tcPr>
          <w:p>
            <w:r/>
            <w:r>
              <w:rPr>
                <w:sz w:val="15"/>
              </w:rPr>
              <w:t>Adults 30+</w:t>
            </w:r>
          </w:p>
        </w:tc>
        <w:tc>
          <w:tcPr>
            <w:tcW w:type="dxa" w:w="1020"/>
          </w:tcPr>
          <w:p>
            <w:r/>
            <w:r>
              <w:rPr>
                <w:sz w:val="15"/>
              </w:rPr>
              <w:t>2008–2025</w:t>
            </w:r>
          </w:p>
        </w:tc>
        <w:tc>
          <w:tcPr>
            <w:tcW w:type="dxa" w:w="794"/>
          </w:tcPr>
          <w:p>
            <w:r/>
            <w:r>
              <w:rPr>
                <w:sz w:val="15"/>
              </w:rPr>
              <w:t>worse</w:t>
            </w:r>
          </w:p>
        </w:tc>
      </w:tr>
      <w:tr>
        <w:tc>
          <w:tcPr>
            <w:tcW w:type="dxa" w:w="2494"/>
          </w:tcPr>
          <w:p>
            <w:r/>
            <w:r>
              <w:rPr>
                <w:sz w:val="15"/>
              </w:rPr>
              <w:t>DT_HYPER_DOCTOR_DRUG</w:t>
            </w:r>
          </w:p>
        </w:tc>
        <w:tc>
          <w:tcPr>
            <w:tcW w:type="dxa" w:w="3742"/>
          </w:tcPr>
          <w:p>
            <w:r/>
            <w:r>
              <w:rPr>
                <w:sz w:val="15"/>
              </w:rPr>
              <w:t>Hypertension treatment rate among diagnosed</w:t>
            </w:r>
          </w:p>
        </w:tc>
        <w:tc>
          <w:tcPr>
            <w:tcW w:type="dxa" w:w="1701"/>
          </w:tcPr>
          <w:p>
            <w:r/>
            <w:r>
              <w:rPr>
                <w:sz w:val="15"/>
              </w:rPr>
              <w:t>Diagnosed adults 30+</w:t>
            </w:r>
          </w:p>
        </w:tc>
        <w:tc>
          <w:tcPr>
            <w:tcW w:type="dxa" w:w="1020"/>
          </w:tcPr>
          <w:p>
            <w:r/>
            <w:r>
              <w:rPr>
                <w:sz w:val="15"/>
              </w:rPr>
              <w:t>2008–2025</w:t>
            </w:r>
          </w:p>
        </w:tc>
        <w:tc>
          <w:tcPr>
            <w:tcW w:type="dxa" w:w="794"/>
          </w:tcPr>
          <w:p>
            <w:r/>
            <w:r>
              <w:rPr>
                <w:sz w:val="15"/>
              </w:rPr>
              <w:t>better</w:t>
            </w:r>
          </w:p>
        </w:tc>
      </w:tr>
      <w:tr>
        <w:tc>
          <w:tcPr>
            <w:tcW w:type="dxa" w:w="2494"/>
          </w:tcPr>
          <w:p>
            <w:r/>
            <w:r>
              <w:rPr>
                <w:sz w:val="15"/>
              </w:rPr>
              <w:t>DT_DIA_DOCTOR</w:t>
            </w:r>
          </w:p>
        </w:tc>
        <w:tc>
          <w:tcPr>
            <w:tcW w:type="dxa" w:w="3742"/>
          </w:tcPr>
          <w:p>
            <w:r/>
            <w:r>
              <w:rPr>
                <w:sz w:val="15"/>
              </w:rPr>
              <w:t>Physician-diagnosed diabetes prevalence</w:t>
            </w:r>
          </w:p>
        </w:tc>
        <w:tc>
          <w:tcPr>
            <w:tcW w:type="dxa" w:w="1701"/>
          </w:tcPr>
          <w:p>
            <w:r/>
            <w:r>
              <w:rPr>
                <w:sz w:val="15"/>
              </w:rPr>
              <w:t>Adults 30+</w:t>
            </w:r>
          </w:p>
        </w:tc>
        <w:tc>
          <w:tcPr>
            <w:tcW w:type="dxa" w:w="1020"/>
          </w:tcPr>
          <w:p>
            <w:r/>
            <w:r>
              <w:rPr>
                <w:sz w:val="15"/>
              </w:rPr>
              <w:t>2008–2025</w:t>
            </w:r>
          </w:p>
        </w:tc>
        <w:tc>
          <w:tcPr>
            <w:tcW w:type="dxa" w:w="794"/>
          </w:tcPr>
          <w:p>
            <w:r/>
            <w:r>
              <w:rPr>
                <w:sz w:val="15"/>
              </w:rPr>
              <w:t>worse</w:t>
            </w:r>
          </w:p>
        </w:tc>
      </w:tr>
      <w:tr>
        <w:tc>
          <w:tcPr>
            <w:tcW w:type="dxa" w:w="2494"/>
          </w:tcPr>
          <w:p>
            <w:r/>
            <w:r>
              <w:rPr>
                <w:sz w:val="15"/>
              </w:rPr>
              <w:t>DT_DIA_TREAT</w:t>
            </w:r>
          </w:p>
        </w:tc>
        <w:tc>
          <w:tcPr>
            <w:tcW w:type="dxa" w:w="3742"/>
          </w:tcPr>
          <w:p>
            <w:r/>
            <w:r>
              <w:rPr>
                <w:sz w:val="15"/>
              </w:rPr>
              <w:t>Diabetes treatment rate among diagnosed</w:t>
            </w:r>
          </w:p>
        </w:tc>
        <w:tc>
          <w:tcPr>
            <w:tcW w:type="dxa" w:w="1701"/>
          </w:tcPr>
          <w:p>
            <w:r/>
            <w:r>
              <w:rPr>
                <w:sz w:val="15"/>
              </w:rPr>
              <w:t>Diagnosed adults 30+</w:t>
            </w:r>
          </w:p>
        </w:tc>
        <w:tc>
          <w:tcPr>
            <w:tcW w:type="dxa" w:w="1020"/>
          </w:tcPr>
          <w:p>
            <w:r/>
            <w:r>
              <w:rPr>
                <w:sz w:val="15"/>
              </w:rPr>
              <w:t>2008–2025</w:t>
            </w:r>
          </w:p>
        </w:tc>
        <w:tc>
          <w:tcPr>
            <w:tcW w:type="dxa" w:w="794"/>
          </w:tcPr>
          <w:p>
            <w:r/>
            <w:r>
              <w:rPr>
                <w:sz w:val="15"/>
              </w:rPr>
              <w:t>better</w:t>
            </w:r>
          </w:p>
        </w:tc>
      </w:tr>
      <w:tr>
        <w:tc>
          <w:tcPr>
            <w:tcW w:type="dxa" w:w="2494"/>
          </w:tcPr>
          <w:p>
            <w:r/>
            <w:r>
              <w:rPr>
                <w:sz w:val="15"/>
              </w:rPr>
              <w:t>DT_DIA_EYE</w:t>
            </w:r>
          </w:p>
        </w:tc>
        <w:tc>
          <w:tcPr>
            <w:tcW w:type="dxa" w:w="3742"/>
          </w:tcPr>
          <w:p>
            <w:r/>
            <w:r>
              <w:rPr>
                <w:sz w:val="15"/>
              </w:rPr>
              <w:t>Diabetic eye examination rate</w:t>
            </w:r>
          </w:p>
        </w:tc>
        <w:tc>
          <w:tcPr>
            <w:tcW w:type="dxa" w:w="1701"/>
          </w:tcPr>
          <w:p>
            <w:r/>
            <w:r>
              <w:rPr>
                <w:sz w:val="15"/>
              </w:rPr>
              <w:t>Diagnosed adults 30+</w:t>
            </w:r>
          </w:p>
        </w:tc>
        <w:tc>
          <w:tcPr>
            <w:tcW w:type="dxa" w:w="1020"/>
          </w:tcPr>
          <w:p>
            <w:r/>
            <w:r>
              <w:rPr>
                <w:sz w:val="15"/>
              </w:rPr>
              <w:t>2008–2025</w:t>
            </w:r>
          </w:p>
        </w:tc>
        <w:tc>
          <w:tcPr>
            <w:tcW w:type="dxa" w:w="794"/>
          </w:tcPr>
          <w:p>
            <w:r/>
            <w:r>
              <w:rPr>
                <w:sz w:val="15"/>
              </w:rPr>
              <w:t>better</w:t>
            </w:r>
          </w:p>
        </w:tc>
      </w:tr>
      <w:tr>
        <w:tc>
          <w:tcPr>
            <w:tcW w:type="dxa" w:w="2494"/>
          </w:tcPr>
          <w:p>
            <w:r/>
            <w:r>
              <w:rPr>
                <w:sz w:val="15"/>
              </w:rPr>
              <w:t>DT_DIA_KIDNEY</w:t>
            </w:r>
          </w:p>
        </w:tc>
        <w:tc>
          <w:tcPr>
            <w:tcW w:type="dxa" w:w="3742"/>
          </w:tcPr>
          <w:p>
            <w:r/>
            <w:r>
              <w:rPr>
                <w:sz w:val="15"/>
              </w:rPr>
              <w:t>Diabetic kidney (microalbuminuria) test rate</w:t>
            </w:r>
          </w:p>
        </w:tc>
        <w:tc>
          <w:tcPr>
            <w:tcW w:type="dxa" w:w="1701"/>
          </w:tcPr>
          <w:p>
            <w:r/>
            <w:r>
              <w:rPr>
                <w:sz w:val="15"/>
              </w:rPr>
              <w:t>Diagnosed adults 30+</w:t>
            </w:r>
          </w:p>
        </w:tc>
        <w:tc>
          <w:tcPr>
            <w:tcW w:type="dxa" w:w="1020"/>
          </w:tcPr>
          <w:p>
            <w:r/>
            <w:r>
              <w:rPr>
                <w:sz w:val="15"/>
              </w:rPr>
              <w:t>2011–2025</w:t>
            </w:r>
          </w:p>
        </w:tc>
        <w:tc>
          <w:tcPr>
            <w:tcW w:type="dxa" w:w="794"/>
          </w:tcPr>
          <w:p>
            <w:r/>
            <w:r>
              <w:rPr>
                <w:sz w:val="15"/>
              </w:rPr>
              <w:t>better</w:t>
            </w:r>
          </w:p>
        </w:tc>
      </w:tr>
      <w:tr>
        <w:tc>
          <w:tcPr>
            <w:tcW w:type="dxa" w:w="2494"/>
          </w:tcPr>
          <w:p>
            <w:r/>
            <w:r>
              <w:rPr>
                <w:sz w:val="15"/>
              </w:rPr>
              <w:t>DT_117075_HYPER_AWAR</w:t>
            </w:r>
          </w:p>
        </w:tc>
        <w:tc>
          <w:tcPr>
            <w:tcW w:type="dxa" w:w="3742"/>
          </w:tcPr>
          <w:p>
            <w:r/>
            <w:r>
              <w:rPr>
                <w:sz w:val="15"/>
              </w:rPr>
              <w:t>Awareness of own blood pressure value</w:t>
            </w:r>
          </w:p>
        </w:tc>
        <w:tc>
          <w:tcPr>
            <w:tcW w:type="dxa" w:w="1701"/>
          </w:tcPr>
          <w:p>
            <w:r/>
            <w:r>
              <w:rPr>
                <w:sz w:val="15"/>
              </w:rPr>
              <w:t>Adults 19+</w:t>
            </w:r>
          </w:p>
        </w:tc>
        <w:tc>
          <w:tcPr>
            <w:tcW w:type="dxa" w:w="1020"/>
          </w:tcPr>
          <w:p>
            <w:r/>
            <w:r>
              <w:rPr>
                <w:sz w:val="15"/>
              </w:rPr>
              <w:t>2011–2025</w:t>
            </w:r>
          </w:p>
        </w:tc>
        <w:tc>
          <w:tcPr>
            <w:tcW w:type="dxa" w:w="794"/>
          </w:tcPr>
          <w:p>
            <w:r/>
            <w:r>
              <w:rPr>
                <w:sz w:val="15"/>
              </w:rPr>
              <w:t>better</w:t>
            </w:r>
          </w:p>
        </w:tc>
      </w:tr>
      <w:tr>
        <w:tc>
          <w:tcPr>
            <w:tcW w:type="dxa" w:w="2494"/>
          </w:tcPr>
          <w:p>
            <w:r/>
            <w:r>
              <w:rPr>
                <w:sz w:val="15"/>
              </w:rPr>
              <w:t>DT_117075_DIA_AWAR</w:t>
            </w:r>
          </w:p>
        </w:tc>
        <w:tc>
          <w:tcPr>
            <w:tcW w:type="dxa" w:w="3742"/>
          </w:tcPr>
          <w:p>
            <w:r/>
            <w:r>
              <w:rPr>
                <w:sz w:val="15"/>
              </w:rPr>
              <w:t>Awareness of own blood glucose value</w:t>
            </w:r>
          </w:p>
        </w:tc>
        <w:tc>
          <w:tcPr>
            <w:tcW w:type="dxa" w:w="1701"/>
          </w:tcPr>
          <w:p>
            <w:r/>
            <w:r>
              <w:rPr>
                <w:sz w:val="15"/>
              </w:rPr>
              <w:t>Adults 19+</w:t>
            </w:r>
          </w:p>
        </w:tc>
        <w:tc>
          <w:tcPr>
            <w:tcW w:type="dxa" w:w="1020"/>
          </w:tcPr>
          <w:p>
            <w:r/>
            <w:r>
              <w:rPr>
                <w:sz w:val="15"/>
              </w:rPr>
              <w:t>2011–2025</w:t>
            </w:r>
          </w:p>
        </w:tc>
        <w:tc>
          <w:tcPr>
            <w:tcW w:type="dxa" w:w="794"/>
          </w:tcPr>
          <w:p>
            <w:r/>
            <w:r>
              <w:rPr>
                <w:sz w:val="15"/>
              </w:rPr>
              <w:t>better</w:t>
            </w:r>
          </w:p>
        </w:tc>
      </w:tr>
      <w:tr>
        <w:tc>
          <w:tcPr>
            <w:tcW w:type="dxa" w:w="2494"/>
          </w:tcPr>
          <w:p>
            <w:r/>
            <w:r>
              <w:rPr>
                <w:sz w:val="15"/>
              </w:rPr>
              <w:t>DT_117075_STR_EARLY_SYM</w:t>
            </w:r>
          </w:p>
        </w:tc>
        <w:tc>
          <w:tcPr>
            <w:tcW w:type="dxa" w:w="3742"/>
          </w:tcPr>
          <w:p>
            <w:r/>
            <w:r>
              <w:rPr>
                <w:sz w:val="15"/>
              </w:rPr>
              <w:t>Stroke early-symptom awareness</w:t>
            </w:r>
          </w:p>
        </w:tc>
        <w:tc>
          <w:tcPr>
            <w:tcW w:type="dxa" w:w="1701"/>
          </w:tcPr>
          <w:p>
            <w:r/>
            <w:r>
              <w:rPr>
                <w:sz w:val="15"/>
              </w:rPr>
              <w:t>Adults 19+</w:t>
            </w:r>
          </w:p>
        </w:tc>
        <w:tc>
          <w:tcPr>
            <w:tcW w:type="dxa" w:w="1020"/>
          </w:tcPr>
          <w:p>
            <w:r/>
            <w:r>
              <w:rPr>
                <w:sz w:val="15"/>
              </w:rPr>
              <w:t>2017–2025</w:t>
            </w:r>
          </w:p>
        </w:tc>
        <w:tc>
          <w:tcPr>
            <w:tcW w:type="dxa" w:w="794"/>
          </w:tcPr>
          <w:p>
            <w:r/>
            <w:r>
              <w:rPr>
                <w:sz w:val="15"/>
              </w:rPr>
              <w:t>better</w:t>
            </w:r>
          </w:p>
        </w:tc>
      </w:tr>
      <w:tr>
        <w:tc>
          <w:tcPr>
            <w:tcW w:type="dxa" w:w="2494"/>
          </w:tcPr>
          <w:p>
            <w:r/>
            <w:r>
              <w:rPr>
                <w:sz w:val="15"/>
              </w:rPr>
              <w:t>DT_117075_MYO_EARLY_SYM</w:t>
            </w:r>
          </w:p>
        </w:tc>
        <w:tc>
          <w:tcPr>
            <w:tcW w:type="dxa" w:w="3742"/>
          </w:tcPr>
          <w:p>
            <w:r/>
            <w:r>
              <w:rPr>
                <w:sz w:val="15"/>
              </w:rPr>
              <w:t>Myocardial infarction early-symptom awareness</w:t>
            </w:r>
          </w:p>
        </w:tc>
        <w:tc>
          <w:tcPr>
            <w:tcW w:type="dxa" w:w="1701"/>
          </w:tcPr>
          <w:p>
            <w:r/>
            <w:r>
              <w:rPr>
                <w:sz w:val="15"/>
              </w:rPr>
              <w:t>Adults 19+</w:t>
            </w:r>
          </w:p>
        </w:tc>
        <w:tc>
          <w:tcPr>
            <w:tcW w:type="dxa" w:w="1020"/>
          </w:tcPr>
          <w:p>
            <w:r/>
            <w:r>
              <w:rPr>
                <w:sz w:val="15"/>
              </w:rPr>
              <w:t>2017–2025</w:t>
            </w:r>
          </w:p>
        </w:tc>
        <w:tc>
          <w:tcPr>
            <w:tcW w:type="dxa" w:w="794"/>
          </w:tcPr>
          <w:p>
            <w:r/>
            <w:r>
              <w:rPr>
                <w:sz w:val="15"/>
              </w:rPr>
              <w:t>better</w:t>
            </w:r>
          </w:p>
        </w:tc>
      </w:tr>
      <w:tr>
        <w:tc>
          <w:tcPr>
            <w:tcW w:type="dxa" w:w="2494"/>
          </w:tcPr>
          <w:p>
            <w:r/>
            <w:r>
              <w:rPr>
                <w:sz w:val="15"/>
              </w:rPr>
              <w:t>DT_INFLUENZA</w:t>
            </w:r>
          </w:p>
        </w:tc>
        <w:tc>
          <w:tcPr>
            <w:tcW w:type="dxa" w:w="3742"/>
          </w:tcPr>
          <w:p>
            <w:r/>
            <w:r>
              <w:rPr>
                <w:sz w:val="15"/>
              </w:rPr>
              <w:t>Influenza vaccination rate in past year</w:t>
            </w:r>
          </w:p>
        </w:tc>
        <w:tc>
          <w:tcPr>
            <w:tcW w:type="dxa" w:w="1701"/>
          </w:tcPr>
          <w:p>
            <w:r/>
            <w:r>
              <w:rPr>
                <w:sz w:val="15"/>
              </w:rPr>
              <w:t>Adults 19+</w:t>
            </w:r>
          </w:p>
        </w:tc>
        <w:tc>
          <w:tcPr>
            <w:tcW w:type="dxa" w:w="1020"/>
          </w:tcPr>
          <w:p>
            <w:r/>
            <w:r>
              <w:rPr>
                <w:sz w:val="15"/>
              </w:rPr>
              <w:t>2008–2025</w:t>
            </w:r>
          </w:p>
        </w:tc>
        <w:tc>
          <w:tcPr>
            <w:tcW w:type="dxa" w:w="794"/>
          </w:tcPr>
          <w:p>
            <w:r/>
            <w:r>
              <w:rPr>
                <w:sz w:val="15"/>
              </w:rPr>
              <w:t>better</w:t>
            </w:r>
          </w:p>
        </w:tc>
      </w:tr>
      <w:tr>
        <w:tc>
          <w:tcPr>
            <w:tcW w:type="dxa" w:w="2494"/>
          </w:tcPr>
          <w:p>
            <w:r/>
            <w:r>
              <w:rPr>
                <w:sz w:val="15"/>
              </w:rPr>
              <w:t>DT_CPR_EDU</w:t>
            </w:r>
          </w:p>
        </w:tc>
        <w:tc>
          <w:tcPr>
            <w:tcW w:type="dxa" w:w="3742"/>
          </w:tcPr>
          <w:p>
            <w:r/>
            <w:r>
              <w:rPr>
                <w:sz w:val="15"/>
              </w:rPr>
              <w:t>CPR training experience</w:t>
            </w:r>
          </w:p>
        </w:tc>
        <w:tc>
          <w:tcPr>
            <w:tcW w:type="dxa" w:w="1701"/>
          </w:tcPr>
          <w:p>
            <w:r/>
            <w:r>
              <w:rPr>
                <w:sz w:val="15"/>
              </w:rPr>
              <w:t>Adults 19+</w:t>
            </w:r>
          </w:p>
        </w:tc>
        <w:tc>
          <w:tcPr>
            <w:tcW w:type="dxa" w:w="1020"/>
          </w:tcPr>
          <w:p>
            <w:r/>
            <w:r>
              <w:rPr>
                <w:sz w:val="15"/>
              </w:rPr>
              <w:t>2012–2024</w:t>
            </w:r>
          </w:p>
        </w:tc>
        <w:tc>
          <w:tcPr>
            <w:tcW w:type="dxa" w:w="794"/>
          </w:tcPr>
          <w:p>
            <w:r/>
            <w:r>
              <w:rPr>
                <w:sz w:val="15"/>
              </w:rPr>
              <w:t>better</w:t>
            </w:r>
          </w:p>
        </w:tc>
      </w:tr>
      <w:tr>
        <w:tc>
          <w:tcPr>
            <w:tcW w:type="dxa" w:w="2494"/>
          </w:tcPr>
          <w:p>
            <w:r/>
            <w:r>
              <w:rPr>
                <w:sz w:val="15"/>
              </w:rPr>
              <w:t>DT_CPR_AWAR</w:t>
            </w:r>
          </w:p>
        </w:tc>
        <w:tc>
          <w:tcPr>
            <w:tcW w:type="dxa" w:w="3742"/>
          </w:tcPr>
          <w:p>
            <w:r/>
            <w:r>
              <w:rPr>
                <w:sz w:val="15"/>
              </w:rPr>
              <w:t>CPR awareness</w:t>
            </w:r>
          </w:p>
        </w:tc>
        <w:tc>
          <w:tcPr>
            <w:tcW w:type="dxa" w:w="1701"/>
          </w:tcPr>
          <w:p>
            <w:r/>
            <w:r>
              <w:rPr>
                <w:sz w:val="15"/>
              </w:rPr>
              <w:t>Adults 19+</w:t>
            </w:r>
          </w:p>
        </w:tc>
        <w:tc>
          <w:tcPr>
            <w:tcW w:type="dxa" w:w="1020"/>
          </w:tcPr>
          <w:p>
            <w:r/>
            <w:r>
              <w:rPr>
                <w:sz w:val="15"/>
              </w:rPr>
              <w:t>2012–2024</w:t>
            </w:r>
          </w:p>
        </w:tc>
        <w:tc>
          <w:tcPr>
            <w:tcW w:type="dxa" w:w="794"/>
          </w:tcPr>
          <w:p>
            <w:r/>
            <w:r>
              <w:rPr>
                <w:sz w:val="15"/>
              </w:rPr>
              <w:t>better</w:t>
            </w:r>
          </w:p>
        </w:tc>
      </w:tr>
      <w:tr>
        <w:tc>
          <w:tcPr>
            <w:tcW w:type="dxa" w:w="2494"/>
          </w:tcPr>
          <w:p>
            <w:r/>
            <w:r>
              <w:rPr>
                <w:sz w:val="15"/>
              </w:rPr>
              <w:t>DT_H_BELT</w:t>
            </w:r>
          </w:p>
        </w:tc>
        <w:tc>
          <w:tcPr>
            <w:tcW w:type="dxa" w:w="3742"/>
          </w:tcPr>
          <w:p>
            <w:r/>
            <w:r>
              <w:rPr>
                <w:sz w:val="15"/>
              </w:rPr>
              <w:t>Driver seat-belt use</w:t>
            </w:r>
          </w:p>
        </w:tc>
        <w:tc>
          <w:tcPr>
            <w:tcW w:type="dxa" w:w="1701"/>
          </w:tcPr>
          <w:p>
            <w:r/>
            <w:r>
              <w:rPr>
                <w:sz w:val="15"/>
              </w:rPr>
              <w:t>Drivers 19+</w:t>
            </w:r>
          </w:p>
        </w:tc>
        <w:tc>
          <w:tcPr>
            <w:tcW w:type="dxa" w:w="1020"/>
          </w:tcPr>
          <w:p>
            <w:r/>
            <w:r>
              <w:rPr>
                <w:sz w:val="15"/>
              </w:rPr>
              <w:t>2008–2025</w:t>
            </w:r>
          </w:p>
        </w:tc>
        <w:tc>
          <w:tcPr>
            <w:tcW w:type="dxa" w:w="794"/>
          </w:tcPr>
          <w:p>
            <w:r/>
            <w:r>
              <w:rPr>
                <w:sz w:val="15"/>
              </w:rPr>
              <w:t>better</w:t>
            </w:r>
          </w:p>
        </w:tc>
      </w:tr>
      <w:tr>
        <w:tc>
          <w:tcPr>
            <w:tcW w:type="dxa" w:w="2494"/>
          </w:tcPr>
          <w:p>
            <w:r/>
            <w:r>
              <w:rPr>
                <w:sz w:val="15"/>
              </w:rPr>
              <w:t>DT_117075_H_BELT_BACK</w:t>
            </w:r>
          </w:p>
        </w:tc>
        <w:tc>
          <w:tcPr>
            <w:tcW w:type="dxa" w:w="3742"/>
          </w:tcPr>
          <w:p>
            <w:r/>
            <w:r>
              <w:rPr>
                <w:sz w:val="15"/>
              </w:rPr>
              <w:t>Rear-seat belt use</w:t>
            </w:r>
          </w:p>
        </w:tc>
        <w:tc>
          <w:tcPr>
            <w:tcW w:type="dxa" w:w="1701"/>
          </w:tcPr>
          <w:p>
            <w:r/>
            <w:r>
              <w:rPr>
                <w:sz w:val="15"/>
              </w:rPr>
              <w:t>Adults 19+</w:t>
            </w:r>
          </w:p>
        </w:tc>
        <w:tc>
          <w:tcPr>
            <w:tcW w:type="dxa" w:w="1020"/>
          </w:tcPr>
          <w:p>
            <w:r/>
            <w:r>
              <w:rPr>
                <w:sz w:val="15"/>
              </w:rPr>
              <w:t>2014–2025</w:t>
            </w:r>
          </w:p>
        </w:tc>
        <w:tc>
          <w:tcPr>
            <w:tcW w:type="dxa" w:w="794"/>
          </w:tcPr>
          <w:p>
            <w:r/>
            <w:r>
              <w:rPr>
                <w:sz w:val="15"/>
              </w:rPr>
              <w:t>better</w:t>
            </w:r>
          </w:p>
        </w:tc>
      </w:tr>
      <w:tr>
        <w:tc>
          <w:tcPr>
            <w:tcW w:type="dxa" w:w="2494"/>
          </w:tcPr>
          <w:p>
            <w:r/>
            <w:r>
              <w:rPr>
                <w:sz w:val="15"/>
              </w:rPr>
              <w:t>DT_H_HAND_WASH</w:t>
            </w:r>
          </w:p>
        </w:tc>
        <w:tc>
          <w:tcPr>
            <w:tcW w:type="dxa" w:w="3742"/>
          </w:tcPr>
          <w:p>
            <w:r/>
            <w:r>
              <w:rPr>
                <w:sz w:val="15"/>
              </w:rPr>
              <w:t>Hand washing after going out</w:t>
            </w:r>
          </w:p>
        </w:tc>
        <w:tc>
          <w:tcPr>
            <w:tcW w:type="dxa" w:w="1701"/>
          </w:tcPr>
          <w:p>
            <w:r/>
            <w:r>
              <w:rPr>
                <w:sz w:val="15"/>
              </w:rPr>
              <w:t>Adults 19+</w:t>
            </w:r>
          </w:p>
        </w:tc>
        <w:tc>
          <w:tcPr>
            <w:tcW w:type="dxa" w:w="1020"/>
          </w:tcPr>
          <w:p>
            <w:r/>
            <w:r>
              <w:rPr>
                <w:sz w:val="15"/>
              </w:rPr>
              <w:t>2013–2025</w:t>
            </w:r>
          </w:p>
        </w:tc>
        <w:tc>
          <w:tcPr>
            <w:tcW w:type="dxa" w:w="794"/>
          </w:tcPr>
          <w:p>
            <w:r/>
            <w:r>
              <w:rPr>
                <w:sz w:val="15"/>
              </w:rPr>
              <w:t>better</w:t>
            </w:r>
          </w:p>
        </w:tc>
      </w:tr>
      <w:tr>
        <w:tc>
          <w:tcPr>
            <w:tcW w:type="dxa" w:w="2494"/>
          </w:tcPr>
          <w:p>
            <w:r/>
            <w:r>
              <w:rPr>
                <w:sz w:val="15"/>
              </w:rPr>
              <w:t>DT_H_SOAP_USE</w:t>
            </w:r>
          </w:p>
        </w:tc>
        <w:tc>
          <w:tcPr>
            <w:tcW w:type="dxa" w:w="3742"/>
          </w:tcPr>
          <w:p>
            <w:r/>
            <w:r>
              <w:rPr>
                <w:sz w:val="15"/>
              </w:rPr>
              <w:t>Soap or hand sanitiser use</w:t>
            </w:r>
          </w:p>
        </w:tc>
        <w:tc>
          <w:tcPr>
            <w:tcW w:type="dxa" w:w="1701"/>
          </w:tcPr>
          <w:p>
            <w:r/>
            <w:r>
              <w:rPr>
                <w:sz w:val="15"/>
              </w:rPr>
              <w:t>Adults 19+</w:t>
            </w:r>
          </w:p>
        </w:tc>
        <w:tc>
          <w:tcPr>
            <w:tcW w:type="dxa" w:w="1020"/>
          </w:tcPr>
          <w:p>
            <w:r/>
            <w:r>
              <w:rPr>
                <w:sz w:val="15"/>
              </w:rPr>
              <w:t>2013–2025</w:t>
            </w:r>
          </w:p>
        </w:tc>
        <w:tc>
          <w:tcPr>
            <w:tcW w:type="dxa" w:w="794"/>
          </w:tcPr>
          <w:p>
            <w:r/>
            <w:r>
              <w:rPr>
                <w:sz w:val="15"/>
              </w:rPr>
              <w:t>better</w:t>
            </w:r>
          </w:p>
        </w:tc>
      </w:tr>
      <w:tr>
        <w:tc>
          <w:tcPr>
            <w:tcW w:type="dxa" w:w="2494"/>
          </w:tcPr>
          <w:p>
            <w:r/>
            <w:r>
              <w:rPr>
                <w:sz w:val="15"/>
              </w:rPr>
              <w:t>DT_117075_NECE_NTR02</w:t>
            </w:r>
          </w:p>
        </w:tc>
        <w:tc>
          <w:tcPr>
            <w:tcW w:type="dxa" w:w="3742"/>
          </w:tcPr>
          <w:p>
            <w:r/>
            <w:r>
              <w:rPr>
                <w:sz w:val="15"/>
              </w:rPr>
              <w:t>Unmet medical need (hospital/clinic) in past year</w:t>
            </w:r>
          </w:p>
        </w:tc>
        <w:tc>
          <w:tcPr>
            <w:tcW w:type="dxa" w:w="1701"/>
          </w:tcPr>
          <w:p>
            <w:r/>
            <w:r>
              <w:rPr>
                <w:sz w:val="15"/>
              </w:rPr>
              <w:t>Adults 19+</w:t>
            </w:r>
          </w:p>
        </w:tc>
        <w:tc>
          <w:tcPr>
            <w:tcW w:type="dxa" w:w="1020"/>
          </w:tcPr>
          <w:p>
            <w:r/>
            <w:r>
              <w:rPr>
                <w:sz w:val="15"/>
              </w:rPr>
              <w:t>2019–2025</w:t>
            </w:r>
          </w:p>
        </w:tc>
        <w:tc>
          <w:tcPr>
            <w:tcW w:type="dxa" w:w="794"/>
          </w:tcPr>
          <w:p>
            <w:r/>
            <w:r>
              <w:rPr>
                <w:sz w:val="15"/>
              </w:rPr>
              <w:t>worse</w:t>
            </w:r>
          </w:p>
        </w:tc>
      </w:tr>
      <w:tr>
        <w:tc>
          <w:tcPr>
            <w:tcW w:type="dxa" w:w="2494"/>
          </w:tcPr>
          <w:p>
            <w:r/>
            <w:r>
              <w:rPr>
                <w:sz w:val="15"/>
              </w:rPr>
              <w:t>DT_NECE_CLINIC</w:t>
            </w:r>
          </w:p>
        </w:tc>
        <w:tc>
          <w:tcPr>
            <w:tcW w:type="dxa" w:w="3742"/>
          </w:tcPr>
          <w:p>
            <w:r/>
            <w:r>
              <w:rPr>
                <w:sz w:val="15"/>
              </w:rPr>
              <w:t>Public health centre use in past year</w:t>
            </w:r>
          </w:p>
        </w:tc>
        <w:tc>
          <w:tcPr>
            <w:tcW w:type="dxa" w:w="1701"/>
          </w:tcPr>
          <w:p>
            <w:r/>
            <w:r>
              <w:rPr>
                <w:sz w:val="15"/>
              </w:rPr>
              <w:t>Adults 19+</w:t>
            </w:r>
          </w:p>
        </w:tc>
        <w:tc>
          <w:tcPr>
            <w:tcW w:type="dxa" w:w="1020"/>
          </w:tcPr>
          <w:p>
            <w:r/>
            <w:r>
              <w:rPr>
                <w:sz w:val="15"/>
              </w:rPr>
              <w:t>2009–2025</w:t>
            </w:r>
          </w:p>
        </w:tc>
        <w:tc>
          <w:tcPr>
            <w:tcW w:type="dxa" w:w="794"/>
          </w:tcPr>
          <w:p>
            <w:r/>
            <w:r>
              <w:rPr>
                <w:sz w:val="15"/>
              </w:rPr>
              <w:t>–</w:t>
            </w:r>
          </w:p>
        </w:tc>
      </w:tr>
      <w:tr>
        <w:tc>
          <w:tcPr>
            <w:tcW w:type="dxa" w:w="2494"/>
          </w:tcPr>
          <w:p>
            <w:r/>
            <w:r>
              <w:rPr>
                <w:sz w:val="15"/>
              </w:rPr>
              <w:t>DT_HEALTH_RECOG</w:t>
            </w:r>
          </w:p>
        </w:tc>
        <w:tc>
          <w:tcPr>
            <w:tcW w:type="dxa" w:w="3742"/>
          </w:tcPr>
          <w:p>
            <w:r/>
            <w:r>
              <w:rPr>
                <w:sz w:val="15"/>
              </w:rPr>
              <w:t>Good self-rated health ("very good" or "good")</w:t>
            </w:r>
          </w:p>
        </w:tc>
        <w:tc>
          <w:tcPr>
            <w:tcW w:type="dxa" w:w="1701"/>
          </w:tcPr>
          <w:p>
            <w:r/>
            <w:r>
              <w:rPr>
                <w:sz w:val="15"/>
              </w:rPr>
              <w:t>Adults 19+</w:t>
            </w:r>
          </w:p>
        </w:tc>
        <w:tc>
          <w:tcPr>
            <w:tcW w:type="dxa" w:w="1020"/>
          </w:tcPr>
          <w:p>
            <w:r/>
            <w:r>
              <w:rPr>
                <w:sz w:val="15"/>
              </w:rPr>
              <w:t>2008–2025</w:t>
            </w:r>
          </w:p>
        </w:tc>
        <w:tc>
          <w:tcPr>
            <w:tcW w:type="dxa" w:w="794"/>
          </w:tcPr>
          <w:p>
            <w:r/>
            <w:r>
              <w:rPr>
                <w:sz w:val="15"/>
              </w:rPr>
              <w:t>better</w:t>
            </w:r>
          </w:p>
        </w:tc>
      </w:tr>
    </w:tbl>
    <w:p>
      <w:pPr>
        <w:spacing w:after="40"/>
      </w:pPr>
    </w:p>
    <w:sectPr w:rsidR="00FC693F" w:rsidRPr="0006063C" w:rsidSect="00034616">
      <w:pgSz w:w="12240" w:h="15840"/>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60"/>
      <w:outlineLvl w:val="0"/>
    </w:pPr>
    <w:rPr>
      <w:rFonts w:asciiTheme="majorHAnsi" w:eastAsiaTheme="majorEastAsia" w:hAnsiTheme="majorHAnsi" w:cstheme="majorBidi" w:ascii="Times New Roman" w:hAnsi="Times New Roman" w:eastAsia="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Times New Roman" w:hAnsi="Times New Roman" w:eastAsia="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