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40"/>
      </w:pPr>
    </w:p>
    <w:p>
      <w:pPr>
        <w:spacing w:after="120" w:before="0"/>
        <w:jc w:val="center"/>
      </w:pPr>
      <w:r>
        <w:rPr>
          <w:b/>
          <w:bCs/>
          <w:color w:val="1B2A4A"/>
          <w:sz w:val="42"/>
          <w:szCs w:val="42"/>
        </w:rPr>
        <w:t xml:space="preserve">ARCHITECTURE MODERNIZATION STRATEGY</w:t>
      </w:r>
    </w:p>
    <w:p>
      <w:pPr>
        <w:spacing w:after="400" w:before="0"/>
        <w:jc w:val="center"/>
      </w:pPr>
      <w:r>
        <w:rPr>
          <w:b/>
          <w:bCs/>
          <w:color w:val="2563EB"/>
          <w:sz w:val="32"/>
          <w:szCs w:val="32"/>
        </w:rPr>
        <w:t xml:space="preserve">Regulatory Capital Calculator Orchestrator</w:t>
      </w:r>
    </w:p>
    <w:tbl>
      <w:tblPr>
        <w:tblW w:type="dxa" w:w="7000"/>
        <w:tblBorders>
          <w:top w:val="none"/>
          <w:left w:val="none"/>
          <w:bottom w:val="none"/>
          <w:right w:val="none"/>
          <w:insideH w:val="single" w:color="auto" w:sz="4"/>
          <w:insideV w:val="single" w:color="auto" w:sz="4"/>
        </w:tblBorders>
      </w:tblPr>
      <w:tblGrid>
        <w:gridCol w:w="7000"/>
      </w:tblGrid>
      <w:tr>
        <w:tc>
          <w:tcPr>
            <w:shd w:fill="1B2A4A" w:color="1B2A4A" w:val="clear"/>
            <w:tcMar>
              <w:top w:type="dxa" w:w="240"/>
              <w:left w:type="dxa" w:w="300"/>
              <w:bottom w:type="dxa" w:w="240"/>
              <w:right w:type="dxa" w:w="300"/>
            </w:tcMar>
          </w:tcPr>
          <w:p>
            <w:pPr>
              <w:spacing w:after="60" w:before="80"/>
              <w:jc w:val="center"/>
            </w:pPr>
            <w:r>
              <w:rPr>
                <w:b/>
                <w:bCs/>
                <w:color w:val="FFFFFF"/>
                <w:sz w:val="24"/>
                <w:szCs w:val="24"/>
              </w:rPr>
              <w:t xml:space="preserve">Transitioning from Static Imperative Fan-Out</w:t>
            </w:r>
          </w:p>
          <w:p>
            <w:pPr>
              <w:spacing w:after="120" w:before="0"/>
              <w:jc w:val="center"/>
            </w:pPr>
            <w:r>
              <w:rPr>
                <w:b/>
                <w:bCs/>
                <w:color w:val="FFFFFF"/>
                <w:sz w:val="24"/>
                <w:szCs w:val="24"/>
              </w:rPr>
              <w:t xml:space="preserve">to a Declarative Dispatcher with Reconciled Queries</w:t>
            </w:r>
          </w:p>
        </w:tc>
      </w:tr>
    </w:tbl>
    <w:p>
      <w:pPr>
        <w:spacing w:after="0" w:before="400"/>
      </w:pPr>
    </w:p>
    <w:p>
      <w:pPr>
        <w:spacing w:after="80" w:before="0"/>
        <w:jc w:val="center"/>
      </w:pPr>
      <w:r>
        <w:rPr>
          <w:b/>
          <w:bCs/>
          <w:color w:val="475569"/>
          <w:sz w:val="20"/>
          <w:szCs w:val="20"/>
        </w:rPr>
        <w:t xml:space="preserve">Prepared for:  </w:t>
      </w:r>
      <w:r>
        <w:rPr>
          <w:b w:val="false"/>
          <w:bCs w:val="false"/>
          <w:color w:val="475569"/>
          <w:sz w:val="20"/>
          <w:szCs w:val="20"/>
        </w:rPr>
        <w:t xml:space="preserve">Chief Architect · CTO · Head of Infrastructure</w:t>
      </w:r>
    </w:p>
    <w:p>
      <w:pPr>
        <w:spacing w:after="80" w:before="0"/>
        <w:jc w:val="center"/>
      </w:pPr>
      <w:r>
        <w:rPr>
          <w:b/>
          <w:bCs/>
          <w:color w:val="475569"/>
          <w:sz w:val="20"/>
          <w:szCs w:val="20"/>
        </w:rPr>
        <w:t xml:space="preserve">Classification:  </w:t>
      </w:r>
      <w:r>
        <w:rPr>
          <w:b w:val="false"/>
          <w:bCs w:val="false"/>
          <w:color w:val="475569"/>
          <w:sz w:val="20"/>
          <w:szCs w:val="20"/>
        </w:rPr>
        <w:t xml:space="preserve">Internal – Senior Management</w:t>
      </w:r>
    </w:p>
    <w:p>
      <w:pPr>
        <w:spacing w:after="80" w:before="0"/>
        <w:jc w:val="center"/>
      </w:pPr>
      <w:r>
        <w:rPr>
          <w:b/>
          <w:bCs/>
          <w:color w:val="475569"/>
          <w:sz w:val="20"/>
          <w:szCs w:val="20"/>
        </w:rPr>
        <w:t xml:space="preserve">Document Status:  </w:t>
      </w:r>
      <w:r>
        <w:rPr>
          <w:b/>
          <w:bCs/>
          <w:color w:val="DC2626"/>
          <w:sz w:val="20"/>
          <w:szCs w:val="20"/>
        </w:rPr>
        <w:t xml:space="preserve">DRAFT v1.0</w:t>
      </w:r>
    </w:p>
    <w:p>
      <w:r>
        <w:br w:type="page"/>
      </w:r>
    </w:p>
    <w:p>
      <w:pPr>
        <w:pStyle w:val="Heading1"/>
        <w:spacing w:after="200" w:before="360"/>
        <w:rPr>
          <w:b/>
          <w:bCs/>
          <w:color w:val="1B2A4A"/>
          <w:sz w:val="36"/>
          <w:szCs w:val="36"/>
        </w:rPr>
      </w:pPr>
      <w:r>
        <w:t xml:space="preserve">1. Executive Summary &amp; Value Proposition</w:t>
      </w:r>
    </w:p>
    <w:p>
      <w:pPr>
        <w:pStyle w:val="Heading2"/>
        <w:spacing w:after="160" w:before="320"/>
        <w:rPr>
          <w:color w:val="1B2A4A"/>
          <w:sz w:val="28"/>
          <w:szCs w:val="28"/>
        </w:rPr>
      </w:pPr>
      <w:r>
        <w:t xml:space="preserve">1.1 The Business Problem</w:t>
      </w:r>
    </w:p>
    <w:p>
      <w:pPr>
        <w:spacing w:after="140" w:before="100"/>
        <w:jc w:val="both"/>
      </w:pPr>
      <w:r>
        <w:rPr>
          <w:b w:val="false"/>
          <w:bCs w:val="false"/>
          <w:color w:val="0F172A"/>
          <w:sz w:val="20"/>
          <w:szCs w:val="20"/>
        </w:rPr>
        <w:t xml:space="preserve">Our core regulatory capital orchestration layer is operationally sound but architecturally inefficient. The system reliably delivers regulatory outputs, yet its internal design imposes compounding costs that translate directly into </w:t>
      </w:r>
      <w:r>
        <w:rPr>
          <w:b/>
          <w:bCs/>
          <w:color w:val="DC2626"/>
          <w:sz w:val="20"/>
          <w:szCs w:val="20"/>
        </w:rPr>
        <w:t xml:space="preserve">regulatory SLA risk, compute waste, and unsustainable maintenance overhead</w:t>
      </w:r>
      <w:r>
        <w:rPr>
          <w:b w:val="false"/>
          <w:bCs w:val="false"/>
          <w:color w:val="0F172A"/>
          <w:sz w:val="20"/>
          <w:szCs w:val="20"/>
        </w:rPr>
        <w:t xml:space="preserve">. As calculator coverage grows and regulatory scrutiny of computation timelines intensifies, these inefficiencies will compound—transforming today's performance degradation into tomorrow's SLA breach.</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100"/>
        <w:gridCol w:w="3400"/>
        <w:gridCol w:w="3700"/>
      </w:tblGrid>
      <w:tr>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Problem Area</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Technical Root Cause</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Business Impact</w:t>
            </w:r>
          </w:p>
        </w:tc>
      </w:tr>
      <w:tr>
        <w:tc>
          <w:tcPr>
            <w:shd w:fill="FEE2E2" w:color="FEE2E2" w:val="clear"/>
            <w:tcMar>
              <w:top w:type="dxa" w:w="60"/>
              <w:left w:type="dxa" w:w="120"/>
              <w:bottom w:type="dxa" w:w="60"/>
              <w:right w:type="dxa" w:w="120"/>
            </w:tcMar>
          </w:tcPr>
          <w:p>
            <w:pPr>
              <w:spacing w:after="60" w:before="60"/>
              <w:jc w:val="left"/>
            </w:pPr>
            <w:r>
              <w:rPr>
                <w:b/>
                <w:bCs/>
                <w:color w:val="DC2626"/>
                <w:sz w:val="18"/>
                <w:szCs w:val="18"/>
              </w:rPr>
              <w:t xml:space="preserve">Scheduler Churn</w:t>
            </w:r>
          </w:p>
        </w:tc>
        <w:tc>
          <w:tcPr>
            <w:shd w:fill="FEE2E2" w:color="FEE2E2" w:val="clear"/>
            <w:tcMar>
              <w:top w:type="dxa" w:w="60"/>
              <w:left w:type="dxa" w:w="120"/>
              <w:bottom w:type="dxa" w:w="60"/>
              <w:right w:type="dxa" w:w="120"/>
            </w:tcMar>
          </w:tcPr>
          <w:p>
            <w:pPr>
              <w:spacing w:after="60" w:before="60"/>
              <w:jc w:val="left"/>
            </w:pPr>
            <w:r>
              <w:rPr>
                <w:b w:val="false"/>
                <w:bCs w:val="false"/>
                <w:color w:val="0F172A"/>
                <w:sz w:val="18"/>
                <w:szCs w:val="18"/>
              </w:rPr>
              <w:t xml:space="preserve">Per event: ~85 task groups materialized; ~150–300+ task instances scheduled, queued, and state-transitioned for ≤1 useful trigger.</w:t>
            </w:r>
          </w:p>
        </w:tc>
        <w:tc>
          <w:tcPr>
            <w:shd w:fill="FEE2E2" w:color="FEE2E2" w:val="clear"/>
            <w:tcMar>
              <w:top w:type="dxa" w:w="60"/>
              <w:left w:type="dxa" w:w="120"/>
              <w:bottom w:type="dxa" w:w="60"/>
              <w:right w:type="dxa" w:w="120"/>
            </w:tcMar>
          </w:tcPr>
          <w:p>
            <w:pPr>
              <w:spacing w:after="60" w:before="60"/>
              <w:jc w:val="left"/>
            </w:pPr>
            <w:r>
              <w:rPr>
                <w:b w:val="false"/>
                <w:bCs w:val="false"/>
                <w:color w:val="0F172A"/>
                <w:sz w:val="18"/>
                <w:szCs w:val="18"/>
              </w:rPr>
              <w:t xml:space="preserve">Airflow metadata DB exhaustion → scheduler latency spikes → delayed calculator starts → SLA risk on time-sensitive regulatory deadlines.</w:t>
            </w:r>
          </w:p>
        </w:tc>
      </w:tr>
      <w:tr>
        <w:tc>
          <w:tcPr>
            <w:shd w:fill="FEE2E2" w:color="FEE2E2" w:val="clear"/>
            <w:tcMar>
              <w:top w:type="dxa" w:w="60"/>
              <w:left w:type="dxa" w:w="120"/>
              <w:bottom w:type="dxa" w:w="60"/>
              <w:right w:type="dxa" w:w="120"/>
            </w:tcMar>
          </w:tcPr>
          <w:p>
            <w:pPr>
              <w:spacing w:after="60" w:before="60"/>
              <w:jc w:val="left"/>
            </w:pPr>
            <w:r>
              <w:rPr>
                <w:b/>
                <w:bCs/>
                <w:color w:val="DC2626"/>
                <w:sz w:val="18"/>
                <w:szCs w:val="18"/>
              </w:rPr>
              <w:t xml:space="preserve">Portfolio Fan-In Waste</w:t>
            </w:r>
          </w:p>
        </w:tc>
        <w:tc>
          <w:tcPr>
            <w:shd w:fill="FEE2E2" w:color="FEE2E2" w:val="clear"/>
            <w:tcMar>
              <w:top w:type="dxa" w:w="60"/>
              <w:left w:type="dxa" w:w="120"/>
              <w:bottom w:type="dxa" w:w="60"/>
              <w:right w:type="dxa" w:w="120"/>
            </w:tcMar>
          </w:tcPr>
          <w:p>
            <w:pPr>
              <w:spacing w:after="60" w:before="60"/>
              <w:jc w:val="left"/>
            </w:pPr>
            <w:r>
              <w:rPr>
                <w:b w:val="false"/>
                <w:bCs w:val="false"/>
                <w:color w:val="0F172A"/>
                <w:sz w:val="18"/>
                <w:szCs w:val="18"/>
              </w:rPr>
              <w:t xml:space="preserve">Portfolio DAGs self-skip 9 of 10 triggered runs while waiting for regional completions tracked via mutable Airflow Variables.</w:t>
            </w:r>
          </w:p>
        </w:tc>
        <w:tc>
          <w:tcPr>
            <w:shd w:fill="FEE2E2" w:color="FEE2E2" w:val="clear"/>
            <w:tcMar>
              <w:top w:type="dxa" w:w="60"/>
              <w:left w:type="dxa" w:w="120"/>
              <w:bottom w:type="dxa" w:w="60"/>
              <w:right w:type="dxa" w:w="120"/>
            </w:tcMar>
          </w:tcPr>
          <w:p>
            <w:pPr>
              <w:spacing w:after="60" w:before="60"/>
              <w:jc w:val="left"/>
            </w:pPr>
            <w:r>
              <w:rPr>
                <w:b w:val="false"/>
                <w:bCs w:val="false"/>
                <w:color w:val="0F172A"/>
                <w:sz w:val="18"/>
                <w:szCs w:val="18"/>
              </w:rPr>
              <w:t xml:space="preserve">9× wasted DAG lifecycle events per portfolio run. Variable state can become inconsistent under concurrent updates—silent correctness risk.</w:t>
            </w:r>
          </w:p>
        </w:tc>
      </w:tr>
      <w:tr>
        <w:tc>
          <w:tcPr>
            <w:shd w:fill="FEF3C7" w:color="FEF3C7" w:val="clear"/>
            <w:tcMar>
              <w:top w:type="dxa" w:w="60"/>
              <w:left w:type="dxa" w:w="120"/>
              <w:bottom w:type="dxa" w:w="60"/>
              <w:right w:type="dxa" w:w="120"/>
            </w:tcMar>
          </w:tcPr>
          <w:p>
            <w:pPr>
              <w:spacing w:after="60" w:before="60"/>
              <w:jc w:val="left"/>
            </w:pPr>
            <w:r>
              <w:rPr>
                <w:b/>
                <w:bCs/>
                <w:color w:val="D97706"/>
                <w:sz w:val="18"/>
                <w:szCs w:val="18"/>
              </w:rPr>
              <w:t xml:space="preserve">Database Query Latency</w:t>
            </w:r>
          </w:p>
        </w:tc>
        <w:tc>
          <w:tcPr>
            <w:shd w:fill="FEF3C7" w:color="FEF3C7" w:val="clear"/>
            <w:tcMar>
              <w:top w:type="dxa" w:w="60"/>
              <w:left w:type="dxa" w:w="120"/>
              <w:bottom w:type="dxa" w:w="60"/>
              <w:right w:type="dxa" w:w="120"/>
            </w:tcMar>
          </w:tcPr>
          <w:p>
            <w:pPr>
              <w:spacing w:after="60" w:before="60"/>
              <w:jc w:val="left"/>
            </w:pPr>
            <w:r>
              <w:rPr>
                <w:b w:val="false"/>
                <w:bCs w:val="false"/>
                <w:color w:val="0F172A"/>
                <w:sz w:val="18"/>
                <w:szCs w:val="18"/>
              </w:rPr>
              <w:t xml:space="preserve">JSONB-only event/context tables with no top-level indexed columns, no partitioning, and an undersized Scaffeine cache (10k entries, 24h TTL).</w:t>
            </w:r>
          </w:p>
        </w:tc>
        <w:tc>
          <w:tcPr>
            <w:shd w:fill="FEF3C7" w:color="FEF3C7" w:val="clear"/>
            <w:tcMar>
              <w:top w:type="dxa" w:w="60"/>
              <w:left w:type="dxa" w:w="120"/>
              <w:bottom w:type="dxa" w:w="60"/>
              <w:right w:type="dxa" w:w="120"/>
            </w:tcMar>
          </w:tcPr>
          <w:p>
            <w:pPr>
              <w:spacing w:after="60" w:before="60"/>
              <w:jc w:val="left"/>
            </w:pPr>
            <w:r>
              <w:rPr>
                <w:b w:val="false"/>
                <w:bCs w:val="false"/>
                <w:color w:val="0F172A"/>
                <w:sz w:val="18"/>
                <w:szCs w:val="18"/>
              </w:rPr>
              <w:t xml:space="preserve">Queries from Airflow sensors taking tens of minutes → connection pool exhaustion (HikariCP cap: 40) → sensor timeouts → false-negative completions.</w:t>
            </w:r>
          </w:p>
        </w:tc>
      </w:tr>
      <w:tr>
        <w:tc>
          <w:tcPr>
            <w:shd w:fill="FEF3C7" w:color="FEF3C7" w:val="clear"/>
            <w:tcMar>
              <w:top w:type="dxa" w:w="60"/>
              <w:left w:type="dxa" w:w="120"/>
              <w:bottom w:type="dxa" w:w="60"/>
              <w:right w:type="dxa" w:w="120"/>
            </w:tcMar>
          </w:tcPr>
          <w:p>
            <w:pPr>
              <w:spacing w:after="60" w:before="60"/>
              <w:jc w:val="left"/>
            </w:pPr>
            <w:r>
              <w:rPr>
                <w:b/>
                <w:bCs/>
                <w:color w:val="D97706"/>
                <w:sz w:val="18"/>
                <w:szCs w:val="18"/>
              </w:rPr>
              <w:t xml:space="preserve">Dual-Registry Drift</w:t>
            </w:r>
          </w:p>
        </w:tc>
        <w:tc>
          <w:tcPr>
            <w:shd w:fill="FEF3C7" w:color="FEF3C7" w:val="clear"/>
            <w:tcMar>
              <w:top w:type="dxa" w:w="60"/>
              <w:left w:type="dxa" w:w="120"/>
              <w:bottom w:type="dxa" w:w="60"/>
              <w:right w:type="dxa" w:w="120"/>
            </w:tcMar>
          </w:tcPr>
          <w:p>
            <w:pPr>
              <w:spacing w:after="60" w:before="60"/>
              <w:jc w:val="left"/>
            </w:pPr>
            <w:r>
              <w:rPr>
                <w:b w:val="false"/>
                <w:bCs w:val="false"/>
                <w:color w:val="0F172A"/>
                <w:sz w:val="18"/>
                <w:szCs w:val="18"/>
              </w:rPr>
              <w:t xml:space="preserve">Routing rules split across Scala post_filter_control_dag_map (DB) and Python dag_trigger_criteria_map.json (flat file). Two codebases; no single source of truth.</w:t>
            </w:r>
          </w:p>
        </w:tc>
        <w:tc>
          <w:tcPr>
            <w:shd w:fill="FEF3C7" w:color="FEF3C7" w:val="clear"/>
            <w:tcMar>
              <w:top w:type="dxa" w:w="60"/>
              <w:left w:type="dxa" w:w="120"/>
              <w:bottom w:type="dxa" w:w="60"/>
              <w:right w:type="dxa" w:w="120"/>
            </w:tcMar>
          </w:tcPr>
          <w:p>
            <w:pPr>
              <w:spacing w:after="60" w:before="60"/>
              <w:jc w:val="left"/>
            </w:pPr>
            <w:r>
              <w:rPr>
                <w:b w:val="false"/>
                <w:bCs w:val="false"/>
                <w:color w:val="0F172A"/>
                <w:sz w:val="18"/>
                <w:szCs w:val="18"/>
              </w:rPr>
              <w:t xml:space="preserve">Every rule change requires coordinated deploys across two systems. Mis-synchronization causes silent routing failures—untriggered calculators with no observable alert.</w:t>
            </w:r>
          </w:p>
        </w:tc>
      </w:tr>
      <w:tr>
        <w:tc>
          <w:tcPr>
            <w:shd w:fill="FEF3C7" w:color="FEF3C7" w:val="clear"/>
            <w:tcMar>
              <w:top w:type="dxa" w:w="60"/>
              <w:left w:type="dxa" w:w="120"/>
              <w:bottom w:type="dxa" w:w="60"/>
              <w:right w:type="dxa" w:w="120"/>
            </w:tcMar>
          </w:tcPr>
          <w:p>
            <w:pPr>
              <w:spacing w:after="60" w:before="60"/>
              <w:jc w:val="left"/>
            </w:pPr>
            <w:r>
              <w:rPr>
                <w:b/>
                <w:bCs/>
                <w:color w:val="D97706"/>
                <w:sz w:val="18"/>
                <w:szCs w:val="18"/>
              </w:rPr>
              <w:t xml:space="preserve">Fan-In Fragility</w:t>
            </w:r>
          </w:p>
        </w:tc>
        <w:tc>
          <w:tcPr>
            <w:shd w:fill="FEF3C7" w:color="FEF3C7" w:val="clear"/>
            <w:tcMar>
              <w:top w:type="dxa" w:w="60"/>
              <w:left w:type="dxa" w:w="120"/>
              <w:bottom w:type="dxa" w:w="60"/>
              <w:right w:type="dxa" w:w="120"/>
            </w:tcMar>
          </w:tcPr>
          <w:p>
            <w:pPr>
              <w:spacing w:after="60" w:before="60"/>
              <w:jc w:val="left"/>
            </w:pPr>
            <w:r>
              <w:rPr>
                <w:b w:val="false"/>
                <w:bCs w:val="false"/>
                <w:color w:val="0F172A"/>
                <w:sz w:val="18"/>
                <w:szCs w:val="18"/>
              </w:rPr>
              <w:t xml:space="preserve">Portfolio completion tracking uses mutable Airflow Variables accumulated from events. No reconciliation against the authoritative event store.</w:t>
            </w:r>
          </w:p>
        </w:tc>
        <w:tc>
          <w:tcPr>
            <w:shd w:fill="FEF3C7" w:color="FEF3C7" w:val="clear"/>
            <w:tcMar>
              <w:top w:type="dxa" w:w="60"/>
              <w:left w:type="dxa" w:w="120"/>
              <w:bottom w:type="dxa" w:w="60"/>
              <w:right w:type="dxa" w:w="120"/>
            </w:tcMar>
          </w:tcPr>
          <w:p>
            <w:pPr>
              <w:spacing w:after="60" w:before="60"/>
              <w:jc w:val="left"/>
            </w:pPr>
            <w:r>
              <w:rPr>
                <w:b w:val="false"/>
                <w:bCs w:val="false"/>
                <w:color w:val="0F172A"/>
                <w:sz w:val="18"/>
                <w:szCs w:val="18"/>
              </w:rPr>
              <w:t xml:space="preserve">A single lost Kafka event permanently blocks portfolio execution for that business date. No automated recovery; 3h sensor timeout is the sole signal.</w:t>
            </w:r>
          </w:p>
        </w:tc>
      </w:tr>
    </w:tbl>
    <w:p>
      <w:pPr>
        <w:spacing w:after="60" w:before="60"/>
      </w:pPr>
    </w:p>
    <w:p>
      <w:pPr>
        <w:pStyle w:val="Heading2"/>
        <w:spacing w:after="160" w:before="320"/>
        <w:rPr>
          <w:color w:val="1B2A4A"/>
          <w:sz w:val="28"/>
          <w:szCs w:val="28"/>
        </w:rPr>
      </w:pPr>
      <w:r>
        <w:t xml:space="preserve">1.2 Architecture Vision</w:t>
      </w:r>
    </w:p>
    <w:p>
      <w:pPr>
        <w:spacing w:after="140" w:before="100"/>
        <w:jc w:val="both"/>
      </w:pPr>
      <w:r>
        <w:rPr>
          <w:b w:val="false"/>
          <w:bCs w:val="false"/>
          <w:color w:val="0F172A"/>
          <w:sz w:val="20"/>
          <w:szCs w:val="20"/>
        </w:rPr>
        <w:t xml:space="preserve">The modernization strategy replaces a </w:t>
      </w:r>
      <w:r>
        <w:rPr>
          <w:b/>
          <w:bCs/>
          <w:color w:val="DC2626"/>
          <w:sz w:val="20"/>
          <w:szCs w:val="20"/>
        </w:rPr>
        <w:t xml:space="preserve">Static Imperative Fan-Out</w:t>
      </w:r>
      <w:r>
        <w:rPr>
          <w:b w:val="false"/>
          <w:bCs w:val="false"/>
          <w:color w:val="0F172A"/>
          <w:sz w:val="20"/>
          <w:szCs w:val="20"/>
        </w:rPr>
        <w:t xml:space="preserve"> model—where the system routes by exhaustive enumeration and exception-based elimination—with a </w:t>
      </w:r>
      <w:r>
        <w:rPr>
          <w:b/>
          <w:bCs/>
          <w:color w:val="16A34A"/>
          <w:sz w:val="20"/>
          <w:szCs w:val="20"/>
        </w:rPr>
        <w:t xml:space="preserve">Declarative Dispatcher with Reconciled Queries</w:t>
      </w:r>
      <w:r>
        <w:rPr>
          <w:b w:val="false"/>
          <w:bCs w:val="false"/>
          <w:color w:val="0F172A"/>
          <w:sz w:val="20"/>
          <w:szCs w:val="20"/>
        </w:rPr>
        <w:t xml:space="preserve">. Under the target state, routing logic is expressed as compound CEL predicates authored once in a versioned registry; no DAG or task instance is ever materialized unless the predicate evaluates true against the incoming event. Fan-in readiness is resolved by a deterministic query against the event store rather than accumulated mutable state.</w:t>
      </w:r>
    </w:p>
    <w:p>
      <w:pPr>
        <w:spacing w:after="60" w:before="60"/>
      </w:pPr>
    </w:p>
    <w:tbl>
      <w:tblPr>
        <w:tblW w:type="pct" w:w="100%"/>
        <w:tblBorders>
          <w:top w:val="none"/>
          <w:left w:val="none"/>
          <w:bottom w:val="none"/>
          <w:right w:val="none"/>
          <w:insideH w:val="single" w:color="auto" w:sz="4"/>
          <w:insideV w:val="single" w:color="auto" w:sz="4"/>
        </w:tblBorders>
      </w:tblPr>
      <w:tblGrid>
        <w:gridCol w:w="9200"/>
      </w:tblGrid>
      <w:tr>
        <w:tc>
          <w:tcPr>
            <w:tcBorders>
              <w:top w:val="none"/>
              <w:left w:val="single" w:color="2563EB" w:sz="18"/>
              <w:bottom w:val="none"/>
              <w:right w:val="none"/>
            </w:tcBorders>
            <w:shd w:fill="DBEAFE" w:color="DBEAFE" w:val="clear"/>
            <w:tcMar>
              <w:top w:type="dxa" w:w="120"/>
              <w:left w:type="dxa" w:w="200"/>
              <w:bottom w:type="dxa" w:w="120"/>
              <w:right w:type="dxa" w:w="200"/>
            </w:tcMar>
          </w:tcPr>
          <w:p>
            <w:pPr>
              <w:spacing w:after="100" w:before="100"/>
            </w:pPr>
            <w:r>
              <w:rPr>
                <w:b/>
                <w:bCs/>
                <w:color w:val="2563EB"/>
                <w:sz w:val="19"/>
                <w:szCs w:val="19"/>
              </w:rPr>
              <w:t xml:space="preserve">Core Principle:  </w:t>
            </w:r>
            <w:r>
              <w:rPr>
                <w:b w:val="false"/>
                <w:bCs w:val="false"/>
                <w:color w:val="0F172A"/>
                <w:sz w:val="19"/>
                <w:szCs w:val="19"/>
              </w:rPr>
              <w:t xml:space="preserve">Evaluate everything before materializing anything. A calculator DAG is triggered only when it will actually execute—eliminating both the Level 1 control-DAG skip-churn and the Level 2 calculator self-skip in a single architectural intervention.</w:t>
            </w:r>
          </w:p>
        </w:tc>
      </w:tr>
    </w:tbl>
    <w:p>
      <w:pPr>
        <w:spacing w:after="60" w:before="60"/>
      </w:pPr>
    </w:p>
    <w:p>
      <w:pPr>
        <w:pStyle w:val="Heading2"/>
        <w:spacing w:after="160" w:before="320"/>
        <w:rPr>
          <w:color w:val="1B2A4A"/>
          <w:sz w:val="28"/>
          <w:szCs w:val="28"/>
        </w:rPr>
      </w:pPr>
      <w:r>
        <w:t xml:space="preserve">1.3 Strategic Alignment</w:t>
      </w:r>
    </w:p>
    <w:p>
      <w:pPr>
        <w:pStyle w:val="ListParagraph"/>
        <w:numPr>
          <w:ilvl w:val="0"/>
          <w:numId w:val="1"/>
        </w:numPr>
        <w:spacing w:after="80" w:before="60"/>
      </w:pPr>
      <w:r>
        <w:rPr>
          <w:b/>
          <w:bCs/>
          <w:color w:val="1B2A4A"/>
          <w:sz w:val="19"/>
          <w:szCs w:val="19"/>
        </w:rPr>
        <w:t xml:space="preserve">Regulatory Commitment:  </w:t>
      </w:r>
      <w:r>
        <w:rPr>
          <w:b w:val="false"/>
          <w:bCs w:val="false"/>
          <w:color w:val="0F172A"/>
          <w:sz w:val="19"/>
          <w:szCs w:val="19"/>
        </w:rPr>
        <w:t xml:space="preserve">Elimination of metadata-DB churn removes the primary path to SLA breach on regulatory reporting deadlines.</w:t>
      </w:r>
    </w:p>
    <w:p>
      <w:pPr>
        <w:pStyle w:val="ListParagraph"/>
        <w:numPr>
          <w:ilvl w:val="0"/>
          <w:numId w:val="1"/>
        </w:numPr>
        <w:spacing w:after="80" w:before="60"/>
      </w:pPr>
      <w:r>
        <w:rPr>
          <w:b/>
          <w:bCs/>
          <w:color w:val="1B2A4A"/>
          <w:sz w:val="19"/>
          <w:szCs w:val="19"/>
        </w:rPr>
        <w:t xml:space="preserve">Operational Efficiency:  </w:t>
      </w:r>
      <w:r>
        <w:rPr>
          <w:b w:val="false"/>
          <w:bCs w:val="false"/>
          <w:color w:val="0F172A"/>
          <w:sz w:val="19"/>
          <w:szCs w:val="19"/>
        </w:rPr>
        <w:t xml:space="preserve">Estimated 90–95% reduction in wasted Airflow task instances reduces infrastructure costs and scheduler resource consumption proportionally.</w:t>
      </w:r>
    </w:p>
    <w:p>
      <w:pPr>
        <w:pStyle w:val="ListParagraph"/>
        <w:numPr>
          <w:ilvl w:val="0"/>
          <w:numId w:val="1"/>
        </w:numPr>
        <w:spacing w:after="80" w:before="60"/>
      </w:pPr>
      <w:r>
        <w:rPr>
          <w:b/>
          <w:bCs/>
          <w:color w:val="1B2A4A"/>
          <w:sz w:val="19"/>
          <w:szCs w:val="19"/>
        </w:rPr>
        <w:t xml:space="preserve">Maintainability:  </w:t>
      </w:r>
      <w:r>
        <w:rPr>
          <w:b w:val="false"/>
          <w:bCs w:val="false"/>
          <w:color w:val="0F172A"/>
          <w:sz w:val="19"/>
          <w:szCs w:val="19"/>
        </w:rPr>
        <w:t xml:space="preserve">A single unified CEL registry replaces two divergent routing codebases, collapsing the change deployment cycle from multi-system coordinated deploys to a versioned config push.</w:t>
      </w:r>
    </w:p>
    <w:p>
      <w:pPr>
        <w:pStyle w:val="ListParagraph"/>
        <w:numPr>
          <w:ilvl w:val="0"/>
          <w:numId w:val="1"/>
        </w:numPr>
        <w:spacing w:after="80" w:before="60"/>
      </w:pPr>
      <w:r>
        <w:rPr>
          <w:b/>
          <w:bCs/>
          <w:color w:val="1B2A4A"/>
          <w:sz w:val="19"/>
          <w:szCs w:val="19"/>
        </w:rPr>
        <w:t xml:space="preserve">Risk Mitigation:  </w:t>
      </w:r>
      <w:r>
        <w:rPr>
          <w:b w:val="false"/>
          <w:bCs w:val="false"/>
          <w:color w:val="0F172A"/>
          <w:sz w:val="19"/>
          <w:szCs w:val="19"/>
        </w:rPr>
        <w:t xml:space="preserve">Phased delivery using the Strangler Fig pattern and shadow-mode validation ensures zero disruption to live regulatory reporting throughout the transition.</w:t>
      </w:r>
    </w:p>
    <w:p>
      <w:r>
        <w:br w:type="page"/>
      </w:r>
    </w:p>
    <w:p>
      <w:pPr>
        <w:pStyle w:val="Heading1"/>
        <w:spacing w:after="200" w:before="360"/>
        <w:rPr>
          <w:b/>
          <w:bCs/>
          <w:color w:val="1B2A4A"/>
          <w:sz w:val="36"/>
          <w:szCs w:val="36"/>
        </w:rPr>
      </w:pPr>
      <w:r>
        <w:t xml:space="preserve">2. Target Architecture State — The Modernized Blueprint</w:t>
      </w:r>
    </w:p>
    <w:p>
      <w:pPr>
        <w:pStyle w:val="Heading2"/>
        <w:spacing w:after="160" w:before="320"/>
        <w:rPr>
          <w:color w:val="1B2A4A"/>
          <w:sz w:val="28"/>
          <w:szCs w:val="28"/>
        </w:rPr>
      </w:pPr>
      <w:r>
        <w:t xml:space="preserve">2.1 Interaction Model Redesign Overview</w:t>
      </w:r>
    </w:p>
    <w:p>
      <w:pPr>
        <w:spacing w:after="140" w:before="100"/>
        <w:jc w:val="both"/>
      </w:pPr>
      <w:r>
        <w:rPr>
          <w:b w:val="false"/>
          <w:bCs w:val="false"/>
          <w:color w:val="0F172A"/>
          <w:sz w:val="20"/>
          <w:szCs w:val="20"/>
        </w:rPr>
        <w:t xml:space="preserve">The target architecture collapses the existing five-component routing chain (Kafka → EMS → Airflow REST → Control DAG → Calculator DAG) into a leaner three-layer flow with a clearly delineated responsibility boundary at each tier.</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0"/>
        <w:gridCol w:w="2700"/>
      </w:tblGrid>
      <w:tr>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Layer</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Component</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Current Responsibility</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Target Responsibility</w:t>
            </w:r>
          </w:p>
        </w:tc>
      </w:tr>
      <w:tr>
        <w:tc>
          <w:tcPr>
            <w:shd w:fill="F1F5F9" w:color="F1F5F9" w:val="clear"/>
            <w:tcMar>
              <w:top w:type="dxa" w:w="60"/>
              <w:left w:type="dxa" w:w="120"/>
              <w:bottom w:type="dxa" w:w="60"/>
              <w:right w:type="dxa" w:w="120"/>
            </w:tcMar>
          </w:tcPr>
          <w:p>
            <w:pPr>
              <w:spacing w:after="60" w:before="60"/>
              <w:jc w:val="left"/>
            </w:pPr>
            <w:r>
              <w:rPr>
                <w:b/>
                <w:bCs/>
                <w:color w:val="1B2A4A"/>
                <w:sz w:val="18"/>
                <w:szCs w:val="18"/>
              </w:rPr>
              <w:t xml:space="preserve">L0 — Ingestion</w:t>
            </w:r>
          </w:p>
        </w:tc>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event-orchestration (Scala)</w:t>
            </w:r>
          </w:p>
        </w:tc>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Consume Kafka → enrich via EDF Context Service → persist JSONB → fire REST to Control DAG.</w:t>
            </w:r>
          </w:p>
        </w:tc>
        <w:tc>
          <w:tcPr>
            <w:shd w:fill="DCFCE7" w:color="DCFCE7" w:val="clear"/>
            <w:tcMar>
              <w:top w:type="dxa" w:w="60"/>
              <w:left w:type="dxa" w:w="120"/>
              <w:bottom w:type="dxa" w:w="60"/>
              <w:right w:type="dxa" w:w="120"/>
            </w:tcMar>
          </w:tcPr>
          <w:p>
            <w:pPr>
              <w:spacing w:after="60" w:before="60"/>
              <w:jc w:val="left"/>
            </w:pPr>
            <w:r>
              <w:rPr>
                <w:b/>
                <w:bCs/>
                <w:color w:val="16A34A"/>
                <w:sz w:val="18"/>
                <w:szCs w:val="18"/>
              </w:rPr>
              <w:t xml:space="preserve">Consume → Enrich → persist to indexed schema → route to tenant dispatcher (one REST call per tenant, never per-calculator).</w:t>
            </w:r>
          </w:p>
        </w:tc>
      </w:tr>
      <w:tr>
        <w:tc>
          <w:tcPr>
            <w:shd w:fill="FFFFFF" w:color="FFFFFF" w:val="clear"/>
            <w:tcMar>
              <w:top w:type="dxa" w:w="60"/>
              <w:left w:type="dxa" w:w="120"/>
              <w:bottom w:type="dxa" w:w="60"/>
              <w:right w:type="dxa" w:w="120"/>
            </w:tcMar>
          </w:tcPr>
          <w:p>
            <w:pPr>
              <w:spacing w:after="60" w:before="60"/>
              <w:jc w:val="left"/>
            </w:pPr>
            <w:r>
              <w:rPr>
                <w:b/>
                <w:bCs/>
                <w:color w:val="1B2A4A"/>
                <w:sz w:val="18"/>
                <w:szCs w:val="18"/>
              </w:rPr>
              <w:t xml:space="preserve">L1 — Dispatch</w:t>
            </w:r>
          </w:p>
        </w:tc>
        <w:tc>
          <w:tcPr>
            <w:shd w:fill="FFFFFF" w:color="FFFFFF" w:val="clear"/>
            <w:tcMar>
              <w:top w:type="dxa" w:w="60"/>
              <w:left w:type="dxa" w:w="120"/>
              <w:bottom w:type="dxa" w:w="60"/>
              <w:right w:type="dxa" w:w="120"/>
            </w:tcMar>
          </w:tcPr>
          <w:p>
            <w:pPr>
              <w:spacing w:after="60" w:before="60"/>
              <w:jc w:val="left"/>
            </w:pPr>
            <w:r>
              <w:rPr>
                <w:b w:val="false"/>
                <w:bCs w:val="false"/>
                <w:color w:val="0F172A"/>
                <w:sz w:val="18"/>
                <w:szCs w:val="18"/>
              </w:rPr>
              <w:t xml:space="preserve">Slim Dispatcher DAG (new)</w:t>
            </w:r>
          </w:p>
        </w:tc>
        <w:tc>
          <w:tcPr>
            <w:shd w:fill="FFFFFF" w:color="FFFFFF" w:val="clear"/>
            <w:tcMar>
              <w:top w:type="dxa" w:w="60"/>
              <w:left w:type="dxa" w:w="120"/>
              <w:bottom w:type="dxa" w:w="60"/>
              <w:right w:type="dxa" w:w="120"/>
            </w:tcMar>
          </w:tcPr>
          <w:p>
            <w:pPr>
              <w:spacing w:after="60" w:before="60"/>
              <w:jc w:val="left"/>
            </w:pPr>
            <w:r>
              <w:rPr>
                <w:b w:val="false"/>
                <w:bCs w:val="false"/>
                <w:color w:val="0F172A"/>
                <w:sz w:val="18"/>
                <w:szCs w:val="18"/>
              </w:rPr>
              <w:t xml:space="preserve">Control DAG: materialize ~85 task groups → skip all-but-match via AirflowSkipException.</w:t>
            </w:r>
          </w:p>
        </w:tc>
        <w:tc>
          <w:tcPr>
            <w:shd w:fill="DCFCE7" w:color="DCFCE7" w:val="clear"/>
            <w:tcMar>
              <w:top w:type="dxa" w:w="60"/>
              <w:left w:type="dxa" w:w="120"/>
              <w:bottom w:type="dxa" w:w="60"/>
              <w:right w:type="dxa" w:w="120"/>
            </w:tcMar>
          </w:tcPr>
          <w:p>
            <w:pPr>
              <w:spacing w:after="60" w:before="60"/>
              <w:jc w:val="left"/>
            </w:pPr>
            <w:r>
              <w:rPr>
                <w:b/>
                <w:bCs/>
                <w:color w:val="16A34A"/>
                <w:sz w:val="18"/>
                <w:szCs w:val="18"/>
              </w:rPr>
              <w:t xml:space="preserve">Single evaluate_and_dispatch task: load CEL registry → evaluate compound predicates → trigger matched DAG(s) only. Zero skipped task instances.</w:t>
            </w:r>
          </w:p>
        </w:tc>
      </w:tr>
      <w:tr>
        <w:tc>
          <w:tcPr>
            <w:shd w:fill="F1F5F9" w:color="F1F5F9" w:val="clear"/>
            <w:tcMar>
              <w:top w:type="dxa" w:w="60"/>
              <w:left w:type="dxa" w:w="120"/>
              <w:bottom w:type="dxa" w:w="60"/>
              <w:right w:type="dxa" w:w="120"/>
            </w:tcMar>
          </w:tcPr>
          <w:p>
            <w:pPr>
              <w:spacing w:after="60" w:before="60"/>
              <w:jc w:val="left"/>
            </w:pPr>
            <w:r>
              <w:rPr>
                <w:b/>
                <w:bCs/>
                <w:color w:val="1B2A4A"/>
                <w:sz w:val="18"/>
                <w:szCs w:val="18"/>
              </w:rPr>
              <w:t xml:space="preserve">L2 — Execution</w:t>
            </w:r>
          </w:p>
        </w:tc>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Calculator DAGs (existing)</w:t>
            </w:r>
          </w:p>
        </w:tc>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Execute + re-check OTHER_PRE_CONDITIONS (frequency, region, portfolio fan-in) → self-skip if not ready.</w:t>
            </w:r>
          </w:p>
        </w:tc>
        <w:tc>
          <w:tcPr>
            <w:shd w:fill="DCFCE7" w:color="DCFCE7" w:val="clear"/>
            <w:tcMar>
              <w:top w:type="dxa" w:w="60"/>
              <w:left w:type="dxa" w:w="120"/>
              <w:bottom w:type="dxa" w:w="60"/>
              <w:right w:type="dxa" w:w="120"/>
            </w:tcMar>
          </w:tcPr>
          <w:p>
            <w:pPr>
              <w:spacing w:after="60" w:before="60"/>
              <w:jc w:val="left"/>
            </w:pPr>
            <w:r>
              <w:rPr>
                <w:b/>
                <w:bCs/>
                <w:color w:val="16A34A"/>
                <w:sz w:val="18"/>
                <w:szCs w:val="18"/>
              </w:rPr>
              <w:t xml:space="preserve">Execute immediately — all pre-conditions folded into CEL trigger.when. No self-skip. Portfolio fan-in resolved via reconciled readiness query at L1.</w:t>
            </w:r>
          </w:p>
        </w:tc>
      </w:tr>
    </w:tbl>
    <w:p>
      <w:pPr>
        <w:spacing w:after="60" w:before="60"/>
      </w:pPr>
    </w:p>
    <w:p>
      <w:pPr>
        <w:pStyle w:val="Heading2"/>
        <w:spacing w:after="160" w:before="320"/>
        <w:rPr>
          <w:color w:val="1B2A4A"/>
          <w:sz w:val="28"/>
          <w:szCs w:val="28"/>
        </w:rPr>
      </w:pPr>
      <w:r>
        <w:t xml:space="preserve">2.2 In-Memory Declarative Rule Engine (CEL/celpy)</w:t>
      </w:r>
    </w:p>
    <w:p>
      <w:pPr>
        <w:spacing w:after="140" w:before="100"/>
        <w:jc w:val="both"/>
      </w:pPr>
      <w:r>
        <w:rPr>
          <w:b w:val="false"/>
          <w:bCs w:val="false"/>
          <w:color w:val="0F172A"/>
          <w:sz w:val="20"/>
          <w:szCs w:val="20"/>
        </w:rPr>
        <w:t xml:space="preserve">The dispatcher's routing logic is driven by a </w:t>
      </w:r>
      <w:r>
        <w:rPr>
          <w:b/>
          <w:bCs/>
          <w:color w:val="2563EB"/>
          <w:sz w:val="20"/>
          <w:szCs w:val="20"/>
        </w:rPr>
        <w:t xml:space="preserve">Common Expression Language (CEL) rule registry</w:t>
      </w:r>
      <w:r>
        <w:rPr>
          <w:b w:val="false"/>
          <w:bCs w:val="false"/>
          <w:color w:val="0F172A"/>
          <w:sz w:val="20"/>
          <w:szCs w:val="20"/>
        </w:rPr>
        <w:t xml:space="preserve">, loaded once at DAG parse time and held in a compiled-rule cache (e.g., Scaffeine or an in-process Python dict keyed by rule hash). Each rule entry is a declarative YAML/JSON record authored by the DAG team:</w:t>
      </w:r>
    </w:p>
    <w:p>
      <w:pPr>
        <w:spacing w:after="60" w:before="60"/>
      </w:pPr>
    </w:p>
    <w:tbl>
      <w:tblPr>
        <w:tblW w:type="pct" w:w="100%"/>
        <w:tblBorders>
          <w:top w:val="none"/>
          <w:left w:val="none"/>
          <w:bottom w:val="none"/>
          <w:right w:val="none"/>
          <w:insideH w:val="single" w:color="auto" w:sz="4"/>
          <w:insideV w:val="single" w:color="auto" w:sz="4"/>
        </w:tblBorders>
      </w:tblPr>
      <w:tblGrid>
        <w:gridCol w:w="9200"/>
      </w:tblGrid>
      <w:tr>
        <w:tc>
          <w:tcPr>
            <w:tcBorders>
              <w:left w:val="single" w:color="2563EB" w:sz="12"/>
            </w:tcBorders>
            <w:shd w:fill="F8FAFC" w:color="F8FAFC" w:val="clear"/>
            <w:tcMar>
              <w:top w:type="dxa" w:w="160"/>
              <w:left w:type="dxa" w:w="240"/>
              <w:bottom w:type="dxa" w:w="160"/>
              <w:right w:type="dxa" w:w="240"/>
            </w:tcMar>
          </w:tcPr>
          <w:p>
            <w:pPr>
              <w:spacing w:after="80" w:before="60"/>
            </w:pPr>
            <w:r>
              <w:rPr>
                <w:b/>
                <w:bCs/>
                <w:color w:val="1B2A4A"/>
                <w:sz w:val="18"/>
                <w:szCs w:val="18"/>
              </w:rPr>
              <w:t xml:space="preserve">Registry Schema (illustrative):</w:t>
            </w:r>
          </w:p>
          <w:p>
            <w:pPr>
              <w:spacing w:after="0" w:before="0"/>
            </w:pPr>
            <w:r>
              <w:rPr>
                <w:rFonts w:ascii="Courier New" w:cs="Courier New" w:eastAsia="Courier New" w:hAnsi="Courier New"/>
                <w:color w:val="7C3AED"/>
                <w:sz w:val="18"/>
                <w:szCs w:val="18"/>
              </w:rPr>
              <w:t xml:space="preserve">dag_id:        amer_d_b3f_dag</w:t>
            </w:r>
          </w:p>
          <w:p>
            <w:pPr>
              <w:spacing w:after="0" w:before="0"/>
            </w:pPr>
            <w:r>
              <w:rPr>
                <w:rFonts w:ascii="Courier New" w:cs="Courier New" w:eastAsia="Courier New" w:hAnsi="Courier New"/>
                <w:color w:val="7C3AED"/>
                <w:sz w:val="18"/>
                <w:szCs w:val="18"/>
              </w:rPr>
              <w:t xml:space="preserve">version:       "2.1"</w:t>
            </w:r>
          </w:p>
          <w:p>
            <w:pPr>
              <w:spacing w:after="0" w:before="0"/>
            </w:pPr>
            <w:r>
              <w:rPr>
                <w:rFonts w:ascii="Courier New" w:cs="Courier New" w:eastAsia="Courier New" w:hAnsi="Courier New"/>
                <w:color w:val="7C3AED"/>
                <w:sz w:val="18"/>
                <w:szCs w:val="18"/>
              </w:rPr>
              <w:t xml:space="preserve">trigger:</w:t>
            </w:r>
          </w:p>
          <w:p>
            <w:pPr>
              <w:spacing w:after="0" w:before="0"/>
            </w:pPr>
            <w:r>
              <w:rPr>
                <w:rFonts w:ascii="Courier New" w:cs="Courier New" w:eastAsia="Courier New" w:hAnsi="Courier New"/>
                <w:color w:val="7C3AED"/>
                <w:sz w:val="18"/>
                <w:szCs w:val="18"/>
              </w:rPr>
              <w:t xml:space="preserve">  when: &gt;-</w:t>
            </w:r>
          </w:p>
          <w:p>
            <w:pPr>
              <w:spacing w:after="0" w:before="0"/>
            </w:pPr>
            <w:r>
              <w:rPr>
                <w:rFonts w:ascii="Courier New" w:cs="Courier New" w:eastAsia="Courier New" w:hAnsi="Courier New"/>
                <w:color w:val="7C3AED"/>
                <w:sz w:val="18"/>
                <w:szCs w:val="18"/>
              </w:rPr>
              <w:t xml:space="preserve">    event.source == "MEG" &amp;&amp;</w:t>
            </w:r>
          </w:p>
          <w:p>
            <w:pPr>
              <w:spacing w:after="0" w:before="0"/>
            </w:pPr>
            <w:r>
              <w:rPr>
                <w:rFonts w:ascii="Courier New" w:cs="Courier New" w:eastAsia="Courier New" w:hAnsi="Courier New"/>
                <w:color w:val="7C3AED"/>
                <w:sz w:val="18"/>
                <w:szCs w:val="18"/>
              </w:rPr>
              <w:t xml:space="preserve">    event.taskEventType == "COMPLETED" &amp;&amp;</w:t>
            </w:r>
          </w:p>
          <w:p>
            <w:pPr>
              <w:spacing w:after="0" w:before="0"/>
            </w:pPr>
            <w:r>
              <w:rPr>
                <w:rFonts w:ascii="Courier New" w:cs="Courier New" w:eastAsia="Courier New" w:hAnsi="Courier New"/>
                <w:color w:val="7C3AED"/>
                <w:sz w:val="18"/>
                <w:szCs w:val="18"/>
              </w:rPr>
              <w:t xml:space="preserve">    context.h3Region == "AMER" &amp;&amp;</w:t>
            </w:r>
          </w:p>
          <w:p>
            <w:pPr>
              <w:spacing w:after="0" w:before="0"/>
            </w:pPr>
            <w:r>
              <w:rPr>
                <w:rFonts w:ascii="Courier New" w:cs="Courier New" w:eastAsia="Courier New" w:hAnsi="Courier New"/>
                <w:color w:val="7C3AED"/>
                <w:sz w:val="18"/>
                <w:szCs w:val="18"/>
              </w:rPr>
              <w:t xml:space="preserve">    context.frequency == "DAILY" &amp;&amp;</w:t>
            </w:r>
          </w:p>
          <w:p>
            <w:pPr>
              <w:spacing w:after="80" w:before="0"/>
            </w:pPr>
            <w:r>
              <w:rPr>
                <w:rFonts w:ascii="Courier New" w:cs="Courier New" w:eastAsia="Courier New" w:hAnsi="Courier New"/>
                <w:color w:val="7C3AED"/>
                <w:sz w:val="18"/>
                <w:szCs w:val="18"/>
              </w:rPr>
              <w:t xml:space="preserve">    context.calcType == "B3F"</w:t>
            </w:r>
          </w:p>
          <w:p>
            <w:pPr>
              <w:spacing w:after="0" w:before="0"/>
            </w:pPr>
            <w:r>
              <w:rPr>
                <w:rFonts w:ascii="Courier New" w:cs="Courier New" w:eastAsia="Courier New" w:hAnsi="Courier New"/>
                <w:color w:val="7C3AED"/>
                <w:sz w:val="18"/>
                <w:szCs w:val="18"/>
              </w:rPr>
              <w:t xml:space="preserve">  await: null          # direct trigger (no fan-in)</w:t>
            </w:r>
          </w:p>
          <w:p>
            <w:pPr>
              <w:spacing w:after="60" w:before="0"/>
            </w:pPr>
            <w:r>
              <w:rPr>
                <w:rFonts w:ascii="Courier New" w:cs="Courier New" w:eastAsia="Courier New" w:hAnsi="Courier New"/>
                <w:color w:val="7C3AED"/>
                <w:sz w:val="18"/>
                <w:szCs w:val="18"/>
              </w:rPr>
              <w:t xml:space="preserve"/>
            </w:r>
          </w:p>
          <w:p>
            <w:pPr>
              <w:spacing w:after="0" w:before="60"/>
            </w:pPr>
            <w:r>
              <w:rPr>
                <w:rFonts w:ascii="Courier New" w:cs="Courier New" w:eastAsia="Courier New" w:hAnsi="Courier New"/>
                <w:color w:val="7C3AED"/>
                <w:sz w:val="18"/>
                <w:szCs w:val="18"/>
              </w:rPr>
              <w:t xml:space="preserve">dag_id:        portfolio_daily_dag</w:t>
            </w:r>
          </w:p>
          <w:p>
            <w:pPr>
              <w:spacing w:after="0" w:before="0"/>
            </w:pPr>
            <w:r>
              <w:rPr>
                <w:rFonts w:ascii="Courier New" w:cs="Courier New" w:eastAsia="Courier New" w:hAnsi="Courier New"/>
                <w:color w:val="7C3AED"/>
                <w:sz w:val="18"/>
                <w:szCs w:val="18"/>
              </w:rPr>
              <w:t xml:space="preserve">trigger:</w:t>
            </w:r>
          </w:p>
          <w:p>
            <w:pPr>
              <w:spacing w:after="0" w:before="0"/>
            </w:pPr>
            <w:r>
              <w:rPr>
                <w:rFonts w:ascii="Courier New" w:cs="Courier New" w:eastAsia="Courier New" w:hAnsi="Courier New"/>
                <w:color w:val="7C3AED"/>
                <w:sz w:val="18"/>
                <w:szCs w:val="18"/>
              </w:rPr>
              <w:t xml:space="preserve">  when: &gt;-</w:t>
            </w:r>
          </w:p>
          <w:p>
            <w:pPr>
              <w:spacing w:after="0" w:before="0"/>
            </w:pPr>
            <w:r>
              <w:rPr>
                <w:rFonts w:ascii="Courier New" w:cs="Courier New" w:eastAsia="Courier New" w:hAnsi="Courier New"/>
                <w:color w:val="7C3AED"/>
                <w:sz w:val="18"/>
                <w:szCs w:val="18"/>
              </w:rPr>
              <w:t xml:space="preserve">    event.taskEventType == "COMPLETED" &amp;&amp;</w:t>
            </w:r>
          </w:p>
          <w:p>
            <w:pPr>
              <w:spacing w:after="0" w:before="0"/>
            </w:pPr>
            <w:r>
              <w:rPr>
                <w:rFonts w:ascii="Courier New" w:cs="Courier New" w:eastAsia="Courier New" w:hAnsi="Courier New"/>
                <w:color w:val="7C3AED"/>
                <w:sz w:val="18"/>
                <w:szCs w:val="18"/>
              </w:rPr>
              <w:t xml:space="preserve">    context.calcType in ["B3F","IHC","SACVA"]</w:t>
            </w:r>
          </w:p>
          <w:p>
            <w:pPr>
              <w:spacing w:after="0" w:before="0"/>
            </w:pPr>
            <w:r>
              <w:rPr>
                <w:rFonts w:ascii="Courier New" w:cs="Courier New" w:eastAsia="Courier New" w:hAnsi="Courier New"/>
                <w:color w:val="7C3AED"/>
                <w:sz w:val="18"/>
                <w:szCs w:val="18"/>
              </w:rPr>
              <w:t xml:space="preserve">  await:</w:t>
            </w:r>
          </w:p>
          <w:p>
            <w:pPr>
              <w:spacing w:after="0" w:before="0"/>
            </w:pPr>
            <w:r>
              <w:rPr>
                <w:rFonts w:ascii="Courier New" w:cs="Courier New" w:eastAsia="Courier New" w:hAnsi="Courier New"/>
                <w:color w:val="7C3AED"/>
                <w:sz w:val="18"/>
                <w:szCs w:val="18"/>
              </w:rPr>
              <w:t xml:space="preserve">    all_of:</w:t>
            </w:r>
          </w:p>
          <w:p>
            <w:pPr>
              <w:spacing w:after="0" w:before="0"/>
            </w:pPr>
            <w:r>
              <w:rPr>
                <w:rFonts w:ascii="Courier New" w:cs="Courier New" w:eastAsia="Courier New" w:hAnsi="Courier New"/>
                <w:color w:val="7C3AED"/>
                <w:sz w:val="18"/>
                <w:szCs w:val="18"/>
              </w:rPr>
              <w:t xml:space="preserve">      - { calcType: B3F,   regions: [AMER, EMEA, APAC], frequency: DAILY }</w:t>
            </w:r>
          </w:p>
          <w:p>
            <w:pPr>
              <w:spacing w:after="0" w:before="0"/>
            </w:pPr>
            <w:r>
              <w:rPr>
                <w:rFonts w:ascii="Courier New" w:cs="Courier New" w:eastAsia="Courier New" w:hAnsi="Courier New"/>
                <w:color w:val="7C3AED"/>
                <w:sz w:val="18"/>
                <w:szCs w:val="18"/>
              </w:rPr>
              <w:t xml:space="preserve">      - { calcType: IHC,   regions: [AMER],              frequency: DAILY }</w:t>
            </w:r>
          </w:p>
          <w:p>
            <w:pPr>
              <w:spacing w:after="80" w:before="0"/>
            </w:pPr>
            <w:r>
              <w:rPr>
                <w:rFonts w:ascii="Courier New" w:cs="Courier New" w:eastAsia="Courier New" w:hAnsi="Courier New"/>
                <w:color w:val="7C3AED"/>
                <w:sz w:val="18"/>
                <w:szCs w:val="18"/>
              </w:rPr>
              <w:t xml:space="preserve">      - { calcType: SACVA, regions: [AMER, EMEA],         frequency: DAILY }</w:t>
            </w:r>
          </w:p>
        </w:tc>
      </w:tr>
    </w:tbl>
    <w:p>
      <w:pPr>
        <w:spacing w:after="60" w:before="60"/>
      </w:pPr>
    </w:p>
    <w:p>
      <w:pPr>
        <w:spacing w:after="140" w:before="100"/>
        <w:jc w:val="both"/>
      </w:pPr>
      <w:r>
        <w:rPr>
          <w:b/>
          <w:bCs/>
          <w:color w:val="1B2A4A"/>
          <w:sz w:val="20"/>
          <w:szCs w:val="20"/>
        </w:rPr>
        <w:t xml:space="preserve">Compiled-rule cache:  </w:t>
      </w:r>
      <w:r>
        <w:rPr>
          <w:b w:val="false"/>
          <w:bCs w:val="false"/>
          <w:color w:val="0F172A"/>
          <w:sz w:val="20"/>
          <w:szCs w:val="20"/>
        </w:rPr>
        <w:t xml:space="preserve">CEL expressions are compiled once at startup (or on registry reload) and stored as executable ASTs in an in-process cache keyed by rule ID + version hash. Per-event evaluation is a dictionary lookup + CEL runtime execution—microsecond-scale overhead with no DB round-trip.</w:t>
      </w:r>
    </w:p>
    <w:p>
      <w:pPr>
        <w:pStyle w:val="Heading2"/>
        <w:spacing w:after="160" w:before="320"/>
        <w:rPr>
          <w:color w:val="1B2A4A"/>
          <w:sz w:val="28"/>
          <w:szCs w:val="28"/>
        </w:rPr>
      </w:pPr>
      <w:r>
        <w:t xml:space="preserve">2.3 Eliminating Level 1 &amp; Level 2 Churn</w:t>
      </w:r>
    </w:p>
    <w:p>
      <w:pPr>
        <w:spacing w:after="140" w:before="100"/>
        <w:jc w:val="both"/>
      </w:pPr>
      <w:r>
        <w:rPr>
          <w:b/>
          <w:bCs/>
          <w:color w:val="1B2A4A"/>
          <w:sz w:val="20"/>
          <w:szCs w:val="20"/>
        </w:rPr>
        <w:t xml:space="preserve">Level 1 elimination (Control DAG gatekeeper):  </w:t>
      </w:r>
      <w:r>
        <w:rPr>
          <w:b w:val="false"/>
          <w:bCs w:val="false"/>
          <w:color w:val="0F172A"/>
          <w:sz w:val="20"/>
          <w:szCs w:val="20"/>
        </w:rPr>
        <w:t xml:space="preserve">The evaluate_and_dispatch function iterates the in-memory registry and invokes the CEL evaluator against the enriched event JSON. Only DAGs whose trigger.when predicate evaluates to </w:t>
      </w:r>
      <w:r>
        <w:rPr>
          <w:rFonts w:ascii="Courier New" w:cs="Courier New" w:eastAsia="Courier New" w:hAnsi="Courier New"/>
          <w:color w:val="7C3AED"/>
          <w:sz w:val="18"/>
          <w:szCs w:val="18"/>
        </w:rPr>
        <w:t xml:space="preserve">true</w:t>
      </w:r>
      <w:r>
        <w:rPr>
          <w:b w:val="false"/>
          <w:bCs w:val="false"/>
          <w:color w:val="0F172A"/>
          <w:sz w:val="20"/>
          <w:szCs w:val="20"/>
        </w:rPr>
        <w:t xml:space="preserve"> are dispatched. The ~85 task groups, each consuming Airflow scheduler cycles, are replaced by a single Python function call. This removes 150–300+ wasted task instances per incoming event.</w:t>
      </w:r>
    </w:p>
    <w:p>
      <w:pPr>
        <w:spacing w:after="140" w:before="100"/>
        <w:jc w:val="both"/>
      </w:pPr>
      <w:r>
        <w:rPr>
          <w:b/>
          <w:bCs/>
          <w:color w:val="1B2A4A"/>
          <w:sz w:val="20"/>
          <w:szCs w:val="20"/>
        </w:rPr>
        <w:t xml:space="preserve">Level 2 elimination (calculator self-skip):  </w:t>
      </w:r>
      <w:r>
        <w:rPr>
          <w:b w:val="false"/>
          <w:bCs w:val="false"/>
          <w:color w:val="0F172A"/>
          <w:sz w:val="20"/>
          <w:szCs w:val="20"/>
        </w:rPr>
        <w:t xml:space="preserve">Pre-conditions that were previously re-evaluated inside each calculator DAG (FrequencyCriteria, H3RegionCriteria, RunTypeCriteria, CompanyCodeCriteria) are absorbed into the trigger.when CEL expression. A calculator DAG is only materialized if every precondition already holds—no DAG run is ever created to be subsequently skipped.</w:t>
      </w:r>
    </w:p>
    <w:p>
      <w:pPr>
        <w:spacing w:after="60" w:before="60"/>
      </w:pPr>
    </w:p>
    <w:tbl>
      <w:tblPr>
        <w:tblW w:type="pct" w:w="100%"/>
        <w:tblBorders>
          <w:top w:val="none"/>
          <w:left w:val="none"/>
          <w:bottom w:val="none"/>
          <w:right w:val="none"/>
          <w:insideH w:val="single" w:color="auto" w:sz="4"/>
          <w:insideV w:val="single" w:color="auto" w:sz="4"/>
        </w:tblBorders>
      </w:tblPr>
      <w:tblGrid>
        <w:gridCol w:w="9200"/>
      </w:tblGrid>
      <w:tr>
        <w:tc>
          <w:tcPr>
            <w:tcBorders>
              <w:top w:val="none"/>
              <w:left w:val="single" w:color="16A34A" w:sz="18"/>
              <w:bottom w:val="none"/>
              <w:right w:val="none"/>
            </w:tcBorders>
            <w:shd w:fill="DCFCE7" w:color="DCFCE7" w:val="clear"/>
            <w:tcMar>
              <w:top w:type="dxa" w:w="120"/>
              <w:left w:type="dxa" w:w="200"/>
              <w:bottom w:type="dxa" w:w="120"/>
              <w:right w:type="dxa" w:w="200"/>
            </w:tcMar>
          </w:tcPr>
          <w:p>
            <w:pPr>
              <w:spacing w:after="100" w:before="100"/>
            </w:pPr>
            <w:r>
              <w:rPr>
                <w:b/>
                <w:bCs/>
                <w:color w:val="16A34A"/>
                <w:sz w:val="19"/>
                <w:szCs w:val="19"/>
              </w:rPr>
              <w:t xml:space="preserve">Key Insight:  </w:t>
            </w:r>
            <w:r>
              <w:rPr>
                <w:b w:val="false"/>
                <w:bCs w:val="false"/>
                <w:color w:val="0F172A"/>
                <w:sz w:val="19"/>
                <w:szCs w:val="19"/>
              </w:rPr>
              <w:t xml:space="preserve">An unused in-Python alternative already exists in the codebase: evaluate_dag_start_criteria + DagTriggerer in common/dag_utils.py evaluate all conditions without spawning skipped tasks. The CEL dispatcher is a structured, versionable evolution of this existing pattern—not a greenfield build.</w:t>
            </w:r>
          </w:p>
        </w:tc>
      </w:tr>
    </w:tbl>
    <w:p>
      <w:pPr>
        <w:spacing w:after="60" w:before="60"/>
      </w:pPr>
    </w:p>
    <w:p>
      <w:pPr>
        <w:pStyle w:val="Heading2"/>
        <w:spacing w:after="160" w:before="320"/>
        <w:rPr>
          <w:color w:val="1B2A4A"/>
          <w:sz w:val="28"/>
          <w:szCs w:val="28"/>
        </w:rPr>
      </w:pPr>
      <w:r>
        <w:t xml:space="preserve">2.4 Reconciled Readiness Query — Replacing Mutable Airflow Variables</w:t>
      </w:r>
    </w:p>
    <w:p>
      <w:pPr>
        <w:spacing w:after="140" w:before="100"/>
        <w:jc w:val="both"/>
      </w:pPr>
      <w:r>
        <w:rPr>
          <w:b w:val="false"/>
          <w:bCs w:val="false"/>
          <w:color w:val="0F172A"/>
          <w:sz w:val="20"/>
          <w:szCs w:val="20"/>
        </w:rPr>
        <w:t xml:space="preserve">Portfolio fan-in readiness is currently tracked by accumulating events into mutable </w:t>
      </w:r>
      <w:r>
        <w:rPr>
          <w:rFonts w:ascii="Courier New" w:cs="Courier New" w:eastAsia="Courier New" w:hAnsi="Courier New"/>
          <w:color w:val="7C3AED"/>
          <w:sz w:val="18"/>
          <w:szCs w:val="18"/>
        </w:rPr>
        <w:t xml:space="preserve">Airflow Variables</w:t>
      </w:r>
      <w:r>
        <w:rPr>
          <w:b w:val="false"/>
          <w:bCs w:val="false"/>
          <w:color w:val="0F172A"/>
          <w:sz w:val="20"/>
          <w:szCs w:val="20"/>
        </w:rPr>
        <w:t xml:space="preserve">. This is fragile: a lost Kafka event permanently corrupts the accumulator for the business date, and concurrent updates carry race conditions. The target state replaces this with a </w:t>
      </w:r>
      <w:r>
        <w:rPr>
          <w:b/>
          <w:bCs/>
          <w:color w:val="2563EB"/>
          <w:sz w:val="20"/>
          <w:szCs w:val="20"/>
        </w:rPr>
        <w:t xml:space="preserve">declarative reconciled readiness query</w:t>
      </w:r>
      <w:r>
        <w:rPr>
          <w:b w:val="false"/>
          <w:bCs w:val="false"/>
          <w:color w:val="0F172A"/>
          <w:sz w:val="20"/>
          <w:szCs w:val="20"/>
        </w:rPr>
        <w:t xml:space="preserve"> against the authoritative PostgreSQL event store:</w:t>
      </w:r>
    </w:p>
    <w:p>
      <w:pPr>
        <w:spacing w:after="60" w:before="60"/>
      </w:pPr>
    </w:p>
    <w:p>
      <w:pPr>
        <w:pStyle w:val="ListParagraph"/>
        <w:numPr>
          <w:ilvl w:val="0"/>
          <w:numId w:val="1"/>
        </w:numPr>
        <w:spacing w:after="80" w:before="60"/>
      </w:pPr>
      <w:r>
        <w:rPr>
          <w:b/>
          <w:bCs/>
          <w:color w:val="1B2A4A"/>
          <w:sz w:val="20"/>
          <w:szCs w:val="20"/>
        </w:rPr>
        <w:t xml:space="preserve">Query logic:  </w:t>
      </w:r>
      <w:r>
        <w:rPr>
          <w:b w:val="false"/>
          <w:bCs w:val="false"/>
          <w:color w:val="0F172A"/>
          <w:sz w:val="20"/>
          <w:szCs w:val="20"/>
        </w:rPr>
        <w:t xml:space="preserve">At dispatch time, the dispatcher issues a parameterized query against event_orchestration: "For business_date=X, return the count of distinct COMPLETED events matching each all_of clause in the portfolio rule's await block."</w:t>
      </w:r>
    </w:p>
    <w:p>
      <w:pPr>
        <w:pStyle w:val="ListParagraph"/>
        <w:numPr>
          <w:ilvl w:val="0"/>
          <w:numId w:val="1"/>
        </w:numPr>
        <w:spacing w:after="80" w:before="60"/>
      </w:pPr>
      <w:r>
        <w:rPr>
          <w:b/>
          <w:bCs/>
          <w:color w:val="1B2A4A"/>
          <w:sz w:val="20"/>
          <w:szCs w:val="20"/>
        </w:rPr>
        <w:t xml:space="preserve">Readiness gate:  </w:t>
      </w:r>
      <w:r>
        <w:rPr>
          <w:b w:val="false"/>
          <w:bCs w:val="false"/>
          <w:color w:val="0F172A"/>
          <w:sz w:val="20"/>
          <w:szCs w:val="20"/>
        </w:rPr>
        <w:t xml:space="preserve">If the reconciled count equals the expected cardinality (all regions × all calcTypes in the await specification), the portfolio DAG is triggered. Otherwise, no action—the next incoming completion event will re-evaluate.</w:t>
      </w:r>
    </w:p>
    <w:p>
      <w:pPr>
        <w:pStyle w:val="ListParagraph"/>
        <w:numPr>
          <w:ilvl w:val="0"/>
          <w:numId w:val="1"/>
        </w:numPr>
        <w:spacing w:after="80" w:before="60"/>
      </w:pPr>
      <w:r>
        <w:rPr>
          <w:b/>
          <w:bCs/>
          <w:color w:val="1B2A4A"/>
          <w:sz w:val="20"/>
          <w:szCs w:val="20"/>
        </w:rPr>
        <w:t xml:space="preserve">Reconciliation heartbeat:  </w:t>
      </w:r>
      <w:r>
        <w:rPr>
          <w:b w:val="false"/>
          <w:bCs w:val="false"/>
          <w:color w:val="0F172A"/>
          <w:sz w:val="20"/>
          <w:szCs w:val="20"/>
        </w:rPr>
        <w:t xml:space="preserve">A lightweight timer (30–60 min during the business window) re-runs the readiness query for open business dates, providing a safety net if an event was delivered out of sequence or after a transient sensor delay.</w:t>
      </w:r>
    </w:p>
    <w:p>
      <w:pPr>
        <w:pStyle w:val="ListParagraph"/>
        <w:numPr>
          <w:ilvl w:val="0"/>
          <w:numId w:val="1"/>
        </w:numPr>
        <w:spacing w:after="80" w:before="60"/>
      </w:pPr>
      <w:r>
        <w:rPr>
          <w:b/>
          <w:bCs/>
          <w:color w:val="1B2A4A"/>
          <w:sz w:val="20"/>
          <w:szCs w:val="20"/>
        </w:rPr>
        <w:t xml:space="preserve">Correctness guarantee:  </w:t>
      </w:r>
      <w:r>
        <w:rPr>
          <w:b w:val="false"/>
          <w:bCs w:val="false"/>
          <w:color w:val="0F172A"/>
          <w:sz w:val="20"/>
          <w:szCs w:val="20"/>
        </w:rPr>
        <w:t xml:space="preserve">Because the query reads the durable event store—not an in-memory accumulator—it is immune to Kafka redelivery, Consumer Group rebalancing, or application restarts. Idempotency is preserved by the existing ON CONFLICT DO NOTHING upsert semantics.</w:t>
      </w:r>
    </w:p>
    <w:p>
      <w:pPr>
        <w:spacing w:after="60" w:before="60"/>
      </w:pPr>
    </w:p>
    <w:p>
      <w:pPr>
        <w:pStyle w:val="Heading2"/>
        <w:spacing w:after="160" w:before="320"/>
        <w:rPr>
          <w:color w:val="1B2A4A"/>
          <w:sz w:val="28"/>
          <w:szCs w:val="28"/>
        </w:rPr>
      </w:pPr>
      <w:r>
        <w:t xml:space="preserve">2.5 PostgreSQL Schema Hardening (Event Microservice)</w:t>
      </w:r>
    </w:p>
    <w:p>
      <w:pPr>
        <w:spacing w:after="140" w:before="100"/>
        <w:jc w:val="both"/>
      </w:pPr>
      <w:r>
        <w:rPr>
          <w:b w:val="false"/>
          <w:bCs w:val="false"/>
          <w:color w:val="0F172A"/>
          <w:sz w:val="20"/>
          <w:szCs w:val="20"/>
        </w:rPr>
        <w:t xml:space="preserve">The event store schema must be hardened to support the reconciled readiness query at acceptable latency without connection pool exhaustion:</w:t>
      </w:r>
    </w:p>
    <w:p>
      <w:pPr>
        <w:pStyle w:val="ListParagraph"/>
        <w:numPr>
          <w:ilvl w:val="0"/>
          <w:numId w:val="1"/>
        </w:numPr>
        <w:spacing w:after="80" w:before="60"/>
      </w:pPr>
      <w:r>
        <w:rPr>
          <w:b/>
          <w:bCs/>
          <w:color w:val="1B2A4A"/>
          <w:sz w:val="20"/>
          <w:szCs w:val="20"/>
        </w:rPr>
        <w:t xml:space="preserve">Materialized top-level columns:  </w:t>
      </w:r>
      <w:r>
        <w:rPr>
          <w:b w:val="false"/>
          <w:bCs w:val="false"/>
          <w:color w:val="0F172A"/>
          <w:sz w:val="20"/>
          <w:szCs w:val="20"/>
        </w:rPr>
        <w:t xml:space="preserve">Extract high-frequency query predicates (business_date, calc_type, h3_region, frequency, task_event_type, successful) from the JSONB payload into indexed top-level columns. Generated columns or a migration-based approach depending on write volume.</w:t>
      </w:r>
    </w:p>
    <w:p>
      <w:pPr>
        <w:pStyle w:val="ListParagraph"/>
        <w:numPr>
          <w:ilvl w:val="0"/>
          <w:numId w:val="1"/>
        </w:numPr>
        <w:spacing w:after="80" w:before="60"/>
      </w:pPr>
      <w:r>
        <w:rPr>
          <w:b/>
          <w:bCs/>
          <w:color w:val="1B2A4A"/>
          <w:sz w:val="20"/>
          <w:szCs w:val="20"/>
        </w:rPr>
        <w:t xml:space="preserve">Range partitioning on business_date:  </w:t>
      </w:r>
      <w:r>
        <w:rPr>
          <w:b w:val="false"/>
          <w:bCs w:val="false"/>
          <w:color w:val="0F172A"/>
          <w:sz w:val="20"/>
          <w:szCs w:val="20"/>
        </w:rPr>
        <w:t xml:space="preserve">Partition the event table by RANGE(business_date) with monthly or weekly partitions. The readiness query for a given run date touches a single partition—query planner prunes all others.</w:t>
      </w:r>
    </w:p>
    <w:p>
      <w:pPr>
        <w:pStyle w:val="ListParagraph"/>
        <w:numPr>
          <w:ilvl w:val="0"/>
          <w:numId w:val="1"/>
        </w:numPr>
        <w:spacing w:after="80" w:before="60"/>
      </w:pPr>
      <w:r>
        <w:rPr>
          <w:b/>
          <w:bCs/>
          <w:color w:val="1B2A4A"/>
          <w:sz w:val="20"/>
          <w:szCs w:val="20"/>
        </w:rPr>
        <w:t xml:space="preserve">Composite index:  </w:t>
      </w:r>
      <w:r>
        <w:rPr>
          <w:rFonts w:ascii="Courier New" w:cs="Courier New" w:eastAsia="Courier New" w:hAnsi="Courier New"/>
          <w:color w:val="7C3AED"/>
          <w:sz w:val="18"/>
          <w:szCs w:val="18"/>
        </w:rPr>
        <w:t xml:space="preserve">(business_date, task_event_type, calc_type, h3_region)</w:t>
      </w:r>
      <w:r>
        <w:rPr>
          <w:b w:val="false"/>
          <w:bCs w:val="false"/>
          <w:color w:val="0F172A"/>
          <w:sz w:val="20"/>
          <w:szCs w:val="20"/>
        </w:rPr>
        <w:t xml:space="preserve"> covering the fan-in predicate pattern. Supports both sensor polling and dispatcher readiness queries.</w:t>
      </w:r>
    </w:p>
    <w:p>
      <w:pPr>
        <w:pStyle w:val="ListParagraph"/>
        <w:numPr>
          <w:ilvl w:val="0"/>
          <w:numId w:val="1"/>
        </w:numPr>
        <w:spacing w:after="80" w:before="60"/>
      </w:pPr>
      <w:r>
        <w:rPr>
          <w:b/>
          <w:bCs/>
          <w:color w:val="1B2A4A"/>
          <w:sz w:val="20"/>
          <w:szCs w:val="20"/>
        </w:rPr>
        <w:t xml:space="preserve">L2 query cache:  </w:t>
      </w:r>
      <w:r>
        <w:rPr>
          <w:b w:val="false"/>
          <w:bCs w:val="false"/>
          <w:color w:val="0F172A"/>
          <w:sz w:val="20"/>
          <w:szCs w:val="20"/>
        </w:rPr>
        <w:t xml:space="preserve">Extend the existing Scaffeine cache (currently context-scoped, 10k / 24h) to cover the readiness query result set, keyed by (business_date, rule_id). Invalidated on any new COMPLETED event for the matching business date.</w:t>
      </w:r>
    </w:p>
    <w:p>
      <w:pPr>
        <w:spacing w:after="60" w:before="60"/>
      </w:pPr>
    </w:p>
    <w:p>
      <w:pPr>
        <w:pStyle w:val="Heading2"/>
        <w:spacing w:after="160" w:before="320"/>
        <w:rPr>
          <w:color w:val="1B2A4A"/>
          <w:sz w:val="28"/>
          <w:szCs w:val="28"/>
        </w:rPr>
      </w:pPr>
      <w:r>
        <w:t xml:space="preserve">2.6 End-to-End Optimized Flow</w:t>
      </w:r>
    </w:p>
    <w:p>
      <w:pPr>
        <w:spacing w:after="140" w:before="100"/>
        <w:jc w:val="both"/>
      </w:pPr>
      <w:r>
        <w:rPr>
          <w:b w:val="false"/>
          <w:bCs w:val="false"/>
          <w:color w:val="0F172A"/>
          <w:sz w:val="20"/>
          <w:szCs w:val="20"/>
        </w:rPr>
        <w:t xml:space="preserve">The following diagram illustrates the complete target-state event and orchestration flow, from MEG event emission through calculator execution:</w:t>
      </w:r>
    </w:p>
    <w:p>
      <w:pPr>
        <w:spacing w:after="60" w:before="60"/>
      </w:pPr>
    </w:p>
    <w:tbl>
      <w:tblPr>
        <w:tblW w:type="pct" w:w="100%"/>
        <w:tblBorders>
          <w:top w:val="none"/>
          <w:left w:val="none"/>
          <w:bottom w:val="none"/>
          <w:right w:val="none"/>
          <w:insideH w:val="single" w:color="auto" w:sz="4"/>
          <w:insideV w:val="single" w:color="auto" w:sz="4"/>
        </w:tblBorders>
      </w:tblPr>
      <w:tblGrid>
        <w:gridCol w:w="9200"/>
      </w:tblGrid>
      <w:tr>
        <w:tc>
          <w:tcPr>
            <w:tcBorders>
              <w:top w:val="single" w:color="2563EB" w:sz="8"/>
              <w:left w:val="single" w:color="2563EB" w:sz="8"/>
              <w:bottom w:val="single" w:color="2563EB" w:sz="8"/>
              <w:right w:val="single" w:color="2563EB" w:sz="8"/>
            </w:tcBorders>
            <w:shd w:fill="F8FAFC" w:color="F8FAFC" w:val="clear"/>
            <w:tcMar>
              <w:top w:type="dxa" w:w="200"/>
              <w:left w:type="dxa" w:w="240"/>
              <w:bottom w:type="dxa" w:w="200"/>
              <w:right w:type="dxa" w:w="240"/>
            </w:tcMar>
          </w:tcPr>
          <w:p>
            <w:pPr>
              <w:spacing w:after="60" w:before="120"/>
              <w:jc w:val="center"/>
            </w:pPr>
            <w:r>
              <w:rPr>
                <w:b/>
                <w:bCs/>
                <w:color w:val="1B2A4A"/>
                <w:sz w:val="20"/>
                <w:szCs w:val="20"/>
              </w:rPr>
              <w:t xml:space="preserve">Target Architecture — End-to-End Flow</w:t>
            </w:r>
          </w:p>
          <w:p>
            <w:pPr>
              <w:spacing w:after="120" w:before="0"/>
              <w:jc w:val="center"/>
            </w:pPr>
            <w:r>
              <w:rPr>
                <w:b w:val="false"/>
                <w:bCs w:val="false"/>
                <w:i/>
                <w:iCs/>
                <w:color w:val="475569"/>
                <w:sz w:val="16"/>
                <w:szCs w:val="16"/>
              </w:rPr>
              <w:t xml:space="preserve">(Mermaid.js — render in compatible viewer)</w:t>
            </w:r>
          </w:p>
          <w:p>
            <w:pPr>
              <w:spacing w:after="0" w:before="0"/>
            </w:pPr>
            <w:r>
              <w:rPr>
                <w:rFonts w:ascii="Courier New" w:cs="Courier New" w:eastAsia="Courier New" w:hAnsi="Courier New"/>
                <w:color w:val="7C3AED"/>
                <w:sz w:val="18"/>
                <w:szCs w:val="18"/>
              </w:rPr>
              <w:t xml:space="preserve">flowchart TB</w:t>
            </w:r>
          </w:p>
          <w:p>
            <w:pPr>
              <w:spacing w:after="0" w:before="0"/>
            </w:pPr>
            <w:r>
              <w:rPr>
                <w:rFonts w:ascii="Courier New" w:cs="Courier New" w:eastAsia="Courier New" w:hAnsi="Courier New"/>
                <w:color w:val="7C3AED"/>
                <w:sz w:val="18"/>
                <w:szCs w:val="18"/>
              </w:rPr>
              <w:t xml:space="preserve">  MEG["MEG · Databricks"] -- "status events" --&gt; EDF["EDF · Kafka"]</w:t>
            </w:r>
          </w:p>
          <w:p>
            <w:pPr>
              <w:spacing w:after="0" w:before="0"/>
            </w:pPr>
            <w:r>
              <w:rPr>
                <w:rFonts w:ascii="Courier New" w:cs="Courier New" w:eastAsia="Courier New" w:hAnsi="Courier New"/>
                <w:color w:val="7C3AED"/>
                <w:sz w:val="18"/>
                <w:szCs w:val="18"/>
              </w:rPr>
              <w:t xml:space="preserve">  EDF --&gt; EO["event-orchestration (Scala)\nL0: consume · enrich · persist"]</w:t>
            </w:r>
          </w:p>
          <w:p>
            <w:pPr>
              <w:spacing w:after="0" w:before="0"/>
            </w:pPr>
            <w:r>
              <w:rPr>
                <w:rFonts w:ascii="Courier New" w:cs="Courier New" w:eastAsia="Courier New" w:hAnsi="Courier New"/>
                <w:color w:val="7C3AED"/>
                <w:sz w:val="18"/>
                <w:szCs w:val="18"/>
              </w:rPr>
              <w:t xml:space="preserve">  EO --&gt; PG[("PostgreSQL\n(indexed schema + partitioned)")]</w:t>
            </w:r>
          </w:p>
          <w:p>
            <w:pPr>
              <w:spacing w:after="0" w:before="0"/>
            </w:pPr>
            <w:r>
              <w:rPr>
                <w:rFonts w:ascii="Courier New" w:cs="Courier New" w:eastAsia="Courier New" w:hAnsi="Courier New"/>
                <w:color w:val="7C3AED"/>
                <w:sz w:val="18"/>
                <w:szCs w:val="18"/>
              </w:rPr>
              <w:t xml:space="preserve">  EO -- "one call per tenant" --&gt; DISP[/"Slim Dispatcher DAG\nevaluate_and_dispatch\n(single task)"/]</w:t>
            </w:r>
          </w:p>
          <w:p>
            <w:pPr>
              <w:spacing w:after="0" w:before="0"/>
            </w:pPr>
            <w:r>
              <w:rPr>
                <w:rFonts w:ascii="Courier New" w:cs="Courier New" w:eastAsia="Courier New" w:hAnsi="Courier New"/>
                <w:color w:val="7C3AED"/>
                <w:sz w:val="18"/>
                <w:szCs w:val="18"/>
              </w:rPr>
              <w:t xml:space="preserve">  REG[("CEL Registry\nversioned YAML/JSON\ncompiled-rule cache")] --&gt; DISP</w:t>
            </w:r>
          </w:p>
          <w:p>
            <w:pPr>
              <w:spacing w:after="0" w:before="0"/>
            </w:pPr>
            <w:r>
              <w:rPr>
                <w:rFonts w:ascii="Courier New" w:cs="Courier New" w:eastAsia="Courier New" w:hAnsi="Courier New"/>
                <w:color w:val="7C3AED"/>
                <w:sz w:val="18"/>
                <w:szCs w:val="18"/>
              </w:rPr>
              <w:t xml:space="preserve">  DISP --&gt; CEL{"CEL evaluate\nall rules in-memory"}</w:t>
            </w:r>
          </w:p>
          <w:p>
            <w:pPr>
              <w:spacing w:after="0" w:before="0"/>
            </w:pPr>
            <w:r>
              <w:rPr>
                <w:rFonts w:ascii="Courier New" w:cs="Courier New" w:eastAsia="Courier New" w:hAnsi="Courier New"/>
                <w:color w:val="7C3AED"/>
                <w:sz w:val="18"/>
                <w:szCs w:val="18"/>
              </w:rPr>
              <w:t xml:space="preserve">  CEL -- "no match" --&gt; NOOP["no-op\n(zero task instances)"]</w:t>
            </w:r>
          </w:p>
          <w:p>
            <w:pPr>
              <w:spacing w:after="0" w:before="0"/>
            </w:pPr>
            <w:r>
              <w:rPr>
                <w:rFonts w:ascii="Courier New" w:cs="Courier New" w:eastAsia="Courier New" w:hAnsi="Courier New"/>
                <w:color w:val="7C3AED"/>
                <w:sz w:val="18"/>
                <w:szCs w:val="18"/>
              </w:rPr>
              <w:t xml:space="preserve">  CEL -- "match · await null" --&gt; TRIG["trigger_dag\n(idempotent · once)"]</w:t>
            </w:r>
          </w:p>
          <w:p>
            <w:pPr>
              <w:spacing w:after="0" w:before="0"/>
            </w:pPr>
            <w:r>
              <w:rPr>
                <w:rFonts w:ascii="Courier New" w:cs="Courier New" w:eastAsia="Courier New" w:hAnsi="Courier New"/>
                <w:color w:val="7C3AED"/>
                <w:sz w:val="18"/>
                <w:szCs w:val="18"/>
              </w:rPr>
              <w:t xml:space="preserve">  CEL -- "match · await.all_of" --&gt; RQ["Reconciled Readiness\nQuery vs event store"]</w:t>
            </w:r>
          </w:p>
          <w:p>
            <w:pPr>
              <w:spacing w:after="0" w:before="0"/>
            </w:pPr>
            <w:r>
              <w:rPr>
                <w:rFonts w:ascii="Courier New" w:cs="Courier New" w:eastAsia="Courier New" w:hAnsi="Courier New"/>
                <w:color w:val="7C3AED"/>
                <w:sz w:val="18"/>
                <w:szCs w:val="18"/>
              </w:rPr>
              <w:t xml:space="preserve">  RQ -- "all deps COMPLETED" --&gt; TRIG</w:t>
            </w:r>
          </w:p>
          <w:p>
            <w:pPr>
              <w:spacing w:after="0" w:before="0"/>
            </w:pPr>
            <w:r>
              <w:rPr>
                <w:rFonts w:ascii="Courier New" w:cs="Courier New" w:eastAsia="Courier New" w:hAnsi="Courier New"/>
                <w:color w:val="7C3AED"/>
                <w:sz w:val="18"/>
                <w:szCs w:val="18"/>
              </w:rPr>
              <w:t xml:space="preserve">  RQ -- "pending deps" --&gt; NOOP</w:t>
            </w:r>
          </w:p>
          <w:p>
            <w:pPr>
              <w:spacing w:after="0" w:before="0"/>
            </w:pPr>
            <w:r>
              <w:rPr>
                <w:rFonts w:ascii="Courier New" w:cs="Courier New" w:eastAsia="Courier New" w:hAnsi="Courier New"/>
                <w:color w:val="7C3AED"/>
                <w:sz w:val="18"/>
                <w:szCs w:val="18"/>
              </w:rPr>
              <w:t xml:space="preserve">  HB["Reconciliation Heartbeat\n30-60 min"] -.-&gt;|"re-evaluate open dates"| RQ</w:t>
            </w:r>
          </w:p>
          <w:p>
            <w:pPr>
              <w:spacing w:after="0" w:before="0"/>
            </w:pPr>
            <w:r>
              <w:rPr>
                <w:rFonts w:ascii="Courier New" w:cs="Courier New" w:eastAsia="Courier New" w:hAnsi="Courier New"/>
                <w:color w:val="7C3AED"/>
                <w:sz w:val="18"/>
                <w:szCs w:val="18"/>
              </w:rPr>
              <w:t xml:space="preserve">  TRIG --&gt; CALC["Calculator DAG\n(no OTHER_PRE_CONDITIONS)"]</w:t>
            </w:r>
          </w:p>
          <w:p>
            <w:pPr>
              <w:spacing w:after="0" w:before="0"/>
            </w:pPr>
            <w:r>
              <w:rPr>
                <w:rFonts w:ascii="Courier New" w:cs="Courier New" w:eastAsia="Courier New" w:hAnsi="Courier New"/>
                <w:color w:val="7C3AED"/>
                <w:sz w:val="18"/>
                <w:szCs w:val="18"/>
              </w:rPr>
              <w:t xml:space="preserve">  CALC --&gt; PUB["CREATE_CONTEXT + PUBLISH_EDF_EVENT"]</w:t>
            </w:r>
          </w:p>
          <w:p>
            <w:pPr>
              <w:spacing w:after="0" w:before="0"/>
            </w:pPr>
            <w:r>
              <w:rPr>
                <w:rFonts w:ascii="Courier New" w:cs="Courier New" w:eastAsia="Courier New" w:hAnsi="Courier New"/>
                <w:color w:val="7C3AED"/>
                <w:sz w:val="18"/>
                <w:szCs w:val="18"/>
              </w:rPr>
              <w:t xml:space="preserve">  PUB -- "start event" --&gt; MEG</w:t>
            </w:r>
          </w:p>
          <w:p>
            <w:pPr>
              <w:spacing w:after="0" w:before="0"/>
            </w:pPr>
            <w:r>
              <w:rPr>
                <w:rFonts w:ascii="Courier New" w:cs="Courier New" w:eastAsia="Courier New" w:hAnsi="Courier New"/>
                <w:color w:val="7C3AED"/>
                <w:sz w:val="18"/>
                <w:szCs w:val="18"/>
              </w:rPr>
              <w:t xml:space="preserve">  CALC --&gt; SENS["Deferrable HTTP Sensor\n(poll /event for COMPLETED)"]</w:t>
            </w:r>
          </w:p>
          <w:p>
            <w:pPr>
              <w:spacing w:after="120" w:before="0"/>
            </w:pPr>
            <w:r>
              <w:rPr>
                <w:rFonts w:ascii="Courier New" w:cs="Courier New" w:eastAsia="Courier New" w:hAnsi="Courier New"/>
                <w:color w:val="7C3AED"/>
                <w:sz w:val="18"/>
                <w:szCs w:val="18"/>
              </w:rPr>
              <w:t xml:space="preserve">  SENS -- "200 + COMPLETED" --&gt; PG</w:t>
            </w:r>
          </w:p>
        </w:tc>
      </w:tr>
    </w:tbl>
    <w:p>
      <w:pPr>
        <w:spacing w:after="60" w:before="60"/>
      </w:pPr>
    </w:p>
    <w:p>
      <w:r>
        <w:br w:type="page"/>
      </w:r>
    </w:p>
    <w:p>
      <w:pPr>
        <w:pStyle w:val="Heading1"/>
        <w:spacing w:after="200" w:before="360"/>
        <w:rPr>
          <w:b/>
          <w:bCs/>
          <w:color w:val="1B2A4A"/>
          <w:sz w:val="36"/>
          <w:szCs w:val="36"/>
        </w:rPr>
      </w:pPr>
      <w:r>
        <w:t xml:space="preserve">3. Phased, Risk-Mitigated Delivery Roadmap</w:t>
      </w:r>
    </w:p>
    <w:p>
      <w:pPr>
        <w:spacing w:after="140" w:before="100"/>
        <w:jc w:val="both"/>
      </w:pPr>
      <w:r>
        <w:rPr>
          <w:b w:val="false"/>
          <w:bCs w:val="false"/>
          <w:color w:val="0F172A"/>
          <w:sz w:val="20"/>
          <w:szCs w:val="20"/>
        </w:rPr>
        <w:t xml:space="preserve">The delivery approach applies a </w:t>
      </w:r>
      <w:r>
        <w:rPr>
          <w:b/>
          <w:bCs/>
          <w:color w:val="2563EB"/>
          <w:sz w:val="20"/>
          <w:szCs w:val="20"/>
        </w:rPr>
        <w:t xml:space="preserve">Strangler Fig Pattern</w:t>
      </w:r>
      <w:r>
        <w:rPr>
          <w:b w:val="false"/>
          <w:bCs w:val="false"/>
          <w:color w:val="0F172A"/>
          <w:sz w:val="20"/>
          <w:szCs w:val="20"/>
        </w:rPr>
        <w:t xml:space="preserve"> to preserve full production continuity throughout: the legacy routing path remains operational while the new dispatcher is constructed alongside it. </w:t>
      </w:r>
      <w:r>
        <w:rPr>
          <w:b/>
          <w:bCs/>
          <w:color w:val="2563EB"/>
          <w:sz w:val="20"/>
          <w:szCs w:val="20"/>
        </w:rPr>
        <w:t xml:space="preserve">Shadow-Mode Testing</w:t>
      </w:r>
      <w:r>
        <w:rPr>
          <w:b w:val="false"/>
          <w:bCs w:val="false"/>
          <w:color w:val="0F172A"/>
          <w:sz w:val="20"/>
          <w:szCs w:val="20"/>
        </w:rPr>
        <w:t xml:space="preserve"> validates dispatcher output against live production routing decisions before any traffic is cut over. No live regulatory reporting workflow is interrupted at any phase boundary.</w:t>
      </w:r>
    </w:p>
    <w:p>
      <w:pPr>
        <w:spacing w:after="60" w:before="60"/>
      </w:pPr>
    </w:p>
    <w:tbl>
      <w:tblPr>
        <w:tblW w:type="pct" w:w="100%"/>
        <w:tblBorders>
          <w:top w:val="none"/>
          <w:left w:val="none"/>
          <w:bottom w:val="none"/>
          <w:right w:val="none"/>
          <w:insideH w:val="single" w:color="auto" w:sz="4"/>
          <w:insideV w:val="single" w:color="auto" w:sz="4"/>
        </w:tblBorders>
      </w:tblPr>
      <w:tblGrid>
        <w:gridCol w:w="9200"/>
      </w:tblGrid>
      <w:tr>
        <w:tc>
          <w:tcPr>
            <w:shd w:fill="1B2A4A" w:color="1B2A4A" w:val="clear"/>
            <w:tcMar>
              <w:top w:type="dxa" w:w="120"/>
              <w:left w:type="dxa" w:w="200"/>
              <w:bottom w:type="dxa" w:w="120"/>
              <w:right w:type="dxa" w:w="200"/>
            </w:tcMar>
          </w:tcPr>
          <w:p>
            <w:pPr>
              <w:spacing w:after="100" w:before="100"/>
            </w:pPr>
            <w:r>
              <w:rPr>
                <w:b/>
                <w:bCs/>
                <w:color w:val="FFFFFF"/>
                <w:sz w:val="22"/>
                <w:szCs w:val="22"/>
              </w:rPr>
              <w:t xml:space="preserve">Q1 — Foundation &amp; Non-Disruptive Hardening</w:t>
            </w:r>
          </w:p>
        </w:tc>
      </w:tr>
    </w:tbl>
    <w:p>
      <w:pPr>
        <w:spacing w:after="60" w:before="60"/>
      </w:pPr>
    </w:p>
    <w:p>
      <w:pPr>
        <w:pStyle w:val="Heading3"/>
        <w:spacing w:after="120" w:before="240"/>
        <w:rPr>
          <w:color w:val="475569"/>
          <w:sz w:val="24"/>
          <w:szCs w:val="24"/>
        </w:rPr>
      </w:pPr>
      <w:r>
        <w:t xml:space="preserve">Month 1 — Database Schema &amp; Query Performance (No Airflow Touch)</w:t>
      </w:r>
    </w:p>
    <w:p>
      <w:pPr>
        <w:spacing w:after="140" w:before="100"/>
        <w:jc w:val="both"/>
      </w:pPr>
      <w:r>
        <w:rPr>
          <w:b w:val="false"/>
          <w:bCs w:val="false"/>
          <w:i/>
          <w:iCs/>
          <w:color w:val="475569"/>
          <w:sz w:val="19"/>
          <w:szCs w:val="19"/>
        </w:rPr>
        <w:t xml:space="preserve">Owner: event-orchestration team. Risk: Low — additive DDL only, zero schema destructive ops.</w:t>
      </w:r>
    </w:p>
    <w:p>
      <w:pPr>
        <w:pStyle w:val="ListParagraph"/>
        <w:numPr>
          <w:ilvl w:val="0"/>
          <w:numId w:val="1"/>
        </w:numPr>
        <w:spacing w:after="80" w:before="60"/>
      </w:pPr>
      <w:r>
        <w:rPr>
          <w:b/>
          <w:bCs/>
          <w:color w:val="0F172A"/>
          <w:sz w:val="20"/>
          <w:szCs w:val="20"/>
        </w:rPr>
        <w:t xml:space="preserve">Schema migration:  </w:t>
      </w:r>
      <w:r>
        <w:rPr>
          <w:b w:val="false"/>
          <w:bCs w:val="false"/>
          <w:color w:val="0F172A"/>
          <w:sz w:val="20"/>
          <w:szCs w:val="20"/>
        </w:rPr>
        <w:t xml:space="preserve">Add materialized columns (business_date, calc_type, h3_region, frequency, task_event_type, successful) to the event table via additive ALTER TABLE ... ADD COLUMN. Backfill from JSONB with a batched UPDATE. Validate column consistency with a read-only audit query before promoting to query paths.</w:t>
      </w:r>
    </w:p>
    <w:p>
      <w:pPr>
        <w:pStyle w:val="ListParagraph"/>
        <w:numPr>
          <w:ilvl w:val="0"/>
          <w:numId w:val="1"/>
        </w:numPr>
        <w:spacing w:after="80" w:before="60"/>
      </w:pPr>
      <w:r>
        <w:rPr>
          <w:b/>
          <w:bCs/>
          <w:color w:val="0F172A"/>
          <w:sz w:val="20"/>
          <w:szCs w:val="20"/>
        </w:rPr>
        <w:t xml:space="preserve">Partitioning strategy:  </w:t>
      </w:r>
      <w:r>
        <w:rPr>
          <w:b w:val="false"/>
          <w:bCs w:val="false"/>
          <w:color w:val="0F172A"/>
          <w:sz w:val="20"/>
          <w:szCs w:val="20"/>
        </w:rPr>
        <w:t xml:space="preserve">Apply range partitioning on business_date to the event table. Use pg_partman or equivalent to automate future partition creation. Attach existing data to the DEFAULT partition; migrate to monthly child partitions during a low-volume window.</w:t>
      </w:r>
    </w:p>
    <w:p>
      <w:pPr>
        <w:pStyle w:val="ListParagraph"/>
        <w:numPr>
          <w:ilvl w:val="0"/>
          <w:numId w:val="1"/>
        </w:numPr>
        <w:spacing w:after="80" w:before="60"/>
      </w:pPr>
      <w:r>
        <w:rPr>
          <w:b/>
          <w:bCs/>
          <w:color w:val="0F172A"/>
          <w:sz w:val="20"/>
          <w:szCs w:val="20"/>
        </w:rPr>
        <w:t xml:space="preserve">Composite index deployment:  </w:t>
      </w:r>
      <w:r>
        <w:rPr>
          <w:b w:val="false"/>
          <w:bCs w:val="false"/>
          <w:color w:val="0F172A"/>
          <w:sz w:val="20"/>
          <w:szCs w:val="20"/>
        </w:rPr>
        <w:t xml:space="preserve">Create CONCURRENTLY the covering index (business_date, task_event_type, calc_type, h3_region) on the event table. No table lock; zero downtime.</w:t>
      </w:r>
    </w:p>
    <w:p>
      <w:pPr>
        <w:pStyle w:val="ListParagraph"/>
        <w:numPr>
          <w:ilvl w:val="0"/>
          <w:numId w:val="1"/>
        </w:numPr>
        <w:spacing w:after="80" w:before="60"/>
      </w:pPr>
      <w:r>
        <w:rPr>
          <w:b/>
          <w:bCs/>
          <w:color w:val="0F172A"/>
          <w:sz w:val="20"/>
          <w:szCs w:val="20"/>
        </w:rPr>
        <w:t xml:space="preserve">Cache tuning:  </w:t>
      </w:r>
      <w:r>
        <w:rPr>
          <w:b w:val="false"/>
          <w:bCs w:val="false"/>
          <w:color w:val="0F172A"/>
          <w:sz w:val="20"/>
          <w:szCs w:val="20"/>
        </w:rPr>
        <w:t xml:space="preserve">Extend the CachedContextEventRepository (Scaffeine) to include a readiness-query result cache keyed by (business_date, rule_id). Set a short TTL (60–120s) invalidated on COMPLETED event ingestion for the matching date.</w:t>
      </w:r>
    </w:p>
    <w:p>
      <w:pPr>
        <w:pStyle w:val="ListParagraph"/>
        <w:numPr>
          <w:ilvl w:val="0"/>
          <w:numId w:val="1"/>
        </w:numPr>
        <w:spacing w:after="80" w:before="60"/>
      </w:pPr>
      <w:r>
        <w:rPr>
          <w:b/>
          <w:bCs/>
          <w:color w:val="0F172A"/>
          <w:sz w:val="20"/>
          <w:szCs w:val="20"/>
        </w:rPr>
        <w:t xml:space="preserve">Validation gate:  </w:t>
      </w:r>
      <w:r>
        <w:rPr>
          <w:b w:val="false"/>
          <w:bCs w:val="false"/>
          <w:color w:val="0F172A"/>
          <w:sz w:val="20"/>
          <w:szCs w:val="20"/>
        </w:rPr>
        <w:t xml:space="preserve">Run EXPLAIN ANALYZE on representative sensor polling and fan-in queries before and after. Target: sub-100ms p99 for all event store queries. Gate Month 2 on hitting this target.</w:t>
      </w:r>
    </w:p>
    <w:p>
      <w:pPr>
        <w:pStyle w:val="Heading3"/>
        <w:spacing w:after="120" w:before="240"/>
        <w:rPr>
          <w:color w:val="475569"/>
          <w:sz w:val="24"/>
          <w:szCs w:val="24"/>
        </w:rPr>
      </w:pPr>
      <w:r>
        <w:t xml:space="preserve">Month 2 — CEL Registry &amp; Dispatcher (Shadow Mode, No Production Traffic)</w:t>
      </w:r>
    </w:p>
    <w:p>
      <w:pPr>
        <w:spacing w:after="140" w:before="100"/>
        <w:jc w:val="both"/>
      </w:pPr>
      <w:r>
        <w:rPr>
          <w:b w:val="false"/>
          <w:bCs w:val="false"/>
          <w:i/>
          <w:iCs/>
          <w:color w:val="475569"/>
          <w:sz w:val="19"/>
          <w:szCs w:val="19"/>
        </w:rPr>
        <w:t xml:space="preserve">Owner: orchestration-dags team. Risk: Low — dispatcher runs in shadow alongside live Control DAG; no routing decisions from shadow mode reach production.</w:t>
      </w:r>
    </w:p>
    <w:p>
      <w:pPr>
        <w:pStyle w:val="ListParagraph"/>
        <w:numPr>
          <w:ilvl w:val="0"/>
          <w:numId w:val="1"/>
        </w:numPr>
        <w:spacing w:after="80" w:before="60"/>
      </w:pPr>
      <w:r>
        <w:rPr>
          <w:b/>
          <w:bCs/>
          <w:color w:val="0F172A"/>
          <w:sz w:val="20"/>
          <w:szCs w:val="20"/>
        </w:rPr>
        <w:t xml:space="preserve">Registry v2 authoring:  </w:t>
      </w:r>
      <w:r>
        <w:rPr>
          <w:b w:val="false"/>
          <w:bCs w:val="false"/>
          <w:color w:val="0F172A"/>
          <w:sz w:val="20"/>
          <w:szCs w:val="20"/>
        </w:rPr>
        <w:t xml:space="preserve">Translate all 85 entries in dag_trigger_criteria_map.json into CEL YAML rules. Absorb all FrequencyCriteria, H3RegionCriteria, RunTypeCriteria, CompanyCodeCriteria from OTHER_PRE_CONDITIONS into trigger.when. Peer-reviewed by DAG authors. Version-controlled in Git; CI pipeline validates CEL syntax and schema on every push.</w:t>
      </w:r>
    </w:p>
    <w:p>
      <w:pPr>
        <w:pStyle w:val="ListParagraph"/>
        <w:numPr>
          <w:ilvl w:val="0"/>
          <w:numId w:val="1"/>
        </w:numPr>
        <w:spacing w:after="80" w:before="60"/>
      </w:pPr>
      <w:r>
        <w:rPr>
          <w:b/>
          <w:bCs/>
          <w:color w:val="0F172A"/>
          <w:sz w:val="20"/>
          <w:szCs w:val="20"/>
        </w:rPr>
        <w:t xml:space="preserve">Dispatcher DAG build:  </w:t>
      </w:r>
      <w:r>
        <w:rPr>
          <w:b w:val="false"/>
          <w:bCs w:val="false"/>
          <w:color w:val="0F172A"/>
          <w:sz w:val="20"/>
          <w:szCs w:val="20"/>
        </w:rPr>
        <w:t xml:space="preserve">Implement evaluate_and_dispatch as a single PythonOperator in a new orchestration_dispatcher_dag. CEL evaluation uses celpy (Pure Python CEL) with compiled-rule cache. Dispatcher emits structured routing decision logs (dag_id, matched: bool, reason, latency_ms) to a dedicated Airflow log sink for every evaluated rule.</w:t>
      </w:r>
    </w:p>
    <w:p>
      <w:pPr>
        <w:pStyle w:val="ListParagraph"/>
        <w:numPr>
          <w:ilvl w:val="0"/>
          <w:numId w:val="1"/>
        </w:numPr>
        <w:spacing w:after="80" w:before="60"/>
      </w:pPr>
      <w:r>
        <w:rPr>
          <w:b/>
          <w:bCs/>
          <w:color w:val="0F172A"/>
          <w:sz w:val="20"/>
          <w:szCs w:val="20"/>
        </w:rPr>
        <w:t xml:space="preserve">Shadow mode harness:  </w:t>
      </w:r>
      <w:r>
        <w:rPr>
          <w:b w:val="false"/>
          <w:bCs w:val="false"/>
          <w:color w:val="0F172A"/>
          <w:sz w:val="20"/>
          <w:szCs w:val="20"/>
        </w:rPr>
        <w:t xml:space="preserve">Instrument both the legacy Control DAG and the new Dispatcher DAG to write routing decisions to a shadow_routing_comparison table in PostgreSQL. A nightly reconciliation job diffs the two decision sets and alerts on any divergence. Target: 100% routing agreement before cutover is considered.</w:t>
      </w:r>
    </w:p>
    <w:p>
      <w:pPr>
        <w:pStyle w:val="ListParagraph"/>
        <w:numPr>
          <w:ilvl w:val="0"/>
          <w:numId w:val="1"/>
        </w:numPr>
        <w:spacing w:after="80" w:before="60"/>
      </w:pPr>
      <w:r>
        <w:rPr>
          <w:b/>
          <w:bCs/>
          <w:color w:val="0F172A"/>
          <w:sz w:val="20"/>
          <w:szCs w:val="20"/>
        </w:rPr>
        <w:t xml:space="preserve">Portfolio reconciled query:  </w:t>
      </w:r>
      <w:r>
        <w:rPr>
          <w:b w:val="false"/>
          <w:bCs w:val="false"/>
          <w:color w:val="0F172A"/>
          <w:sz w:val="20"/>
          <w:szCs w:val="20"/>
        </w:rPr>
        <w:t xml:space="preserve">Implement the readiness query function against the hardened event store. Unit-test exhaustively against synthetic event datasets covering all regional permutations.</w:t>
      </w:r>
    </w:p>
    <w:p>
      <w:pPr>
        <w:pStyle w:val="Heading3"/>
        <w:spacing w:after="120" w:before="240"/>
        <w:rPr>
          <w:color w:val="475569"/>
          <w:sz w:val="24"/>
          <w:szCs w:val="24"/>
        </w:rPr>
      </w:pPr>
      <w:r>
        <w:t xml:space="preserve">Month 3 — Shadow Validation &amp; Stakeholder Sign-Off</w:t>
      </w:r>
    </w:p>
    <w:p>
      <w:pPr>
        <w:spacing w:after="140" w:before="100"/>
        <w:jc w:val="both"/>
      </w:pPr>
      <w:r>
        <w:rPr>
          <w:b w:val="false"/>
          <w:bCs w:val="false"/>
          <w:i/>
          <w:iCs/>
          <w:color w:val="475569"/>
          <w:sz w:val="19"/>
          <w:szCs w:val="19"/>
        </w:rPr>
        <w:t xml:space="preserve">Owner: Chief Architect sign-off required before Phase 2 entry. Risk: Low — validation only, no production routing change.</w:t>
      </w:r>
    </w:p>
    <w:p>
      <w:pPr>
        <w:pStyle w:val="ListParagraph"/>
        <w:numPr>
          <w:ilvl w:val="0"/>
          <w:numId w:val="1"/>
        </w:numPr>
        <w:spacing w:after="80" w:before="60"/>
      </w:pPr>
      <w:r>
        <w:rPr>
          <w:b/>
          <w:bCs/>
          <w:color w:val="0F172A"/>
          <w:sz w:val="20"/>
          <w:szCs w:val="20"/>
        </w:rPr>
        <w:t xml:space="preserve">Shadow run duration:  </w:t>
      </w:r>
      <w:r>
        <w:rPr>
          <w:b w:val="false"/>
          <w:bCs w:val="false"/>
          <w:color w:val="0F172A"/>
          <w:sz w:val="20"/>
          <w:szCs w:val="20"/>
        </w:rPr>
        <w:t xml:space="preserve">Minimum 15 business days of shadow-mode operation, covering at least two full weekly reporting cycles and one month-end close event.</w:t>
      </w:r>
    </w:p>
    <w:p>
      <w:pPr>
        <w:pStyle w:val="ListParagraph"/>
        <w:numPr>
          <w:ilvl w:val="0"/>
          <w:numId w:val="1"/>
        </w:numPr>
        <w:spacing w:after="80" w:before="60"/>
      </w:pPr>
      <w:r>
        <w:rPr>
          <w:b/>
          <w:bCs/>
          <w:color w:val="0F172A"/>
          <w:sz w:val="20"/>
          <w:szCs w:val="20"/>
        </w:rPr>
        <w:t xml:space="preserve">Divergence SLA:  </w:t>
      </w:r>
      <w:r>
        <w:rPr>
          <w:b w:val="false"/>
          <w:bCs w:val="false"/>
          <w:color w:val="0F172A"/>
          <w:sz w:val="20"/>
          <w:szCs w:val="20"/>
        </w:rPr>
        <w:t xml:space="preserve">Zero routing disagreements permitted. Any divergence triggers a blocking review by the architecture team before cutover is approved.</w:t>
      </w:r>
    </w:p>
    <w:p>
      <w:pPr>
        <w:pStyle w:val="ListParagraph"/>
        <w:numPr>
          <w:ilvl w:val="0"/>
          <w:numId w:val="1"/>
        </w:numPr>
        <w:spacing w:after="80" w:before="60"/>
      </w:pPr>
      <w:r>
        <w:rPr>
          <w:b/>
          <w:bCs/>
          <w:color w:val="0F172A"/>
          <w:sz w:val="20"/>
          <w:szCs w:val="20"/>
        </w:rPr>
        <w:t xml:space="preserve">Performance baseline:  </w:t>
      </w:r>
      <w:r>
        <w:rPr>
          <w:b w:val="false"/>
          <w:bCs w:val="false"/>
          <w:color w:val="0F172A"/>
          <w:sz w:val="20"/>
          <w:szCs w:val="20"/>
        </w:rPr>
        <w:t xml:space="preserve">Capture Airflow metadata DB write rate, scheduler queue depth, and DAG run count under the current Control DAG as the pre-migration baseline. These are the primary KPIs measured post-cutover.</w:t>
      </w:r>
    </w:p>
    <w:p>
      <w:pPr>
        <w:pStyle w:val="ListParagraph"/>
        <w:numPr>
          <w:ilvl w:val="0"/>
          <w:numId w:val="1"/>
        </w:numPr>
        <w:spacing w:after="80" w:before="60"/>
      </w:pPr>
      <w:r>
        <w:rPr>
          <w:b/>
          <w:bCs/>
          <w:color w:val="0F172A"/>
          <w:sz w:val="20"/>
          <w:szCs w:val="20"/>
        </w:rPr>
        <w:t xml:space="preserve">Stakeholder review:  </w:t>
      </w:r>
      <w:r>
        <w:rPr>
          <w:b w:val="false"/>
          <w:bCs w:val="false"/>
          <w:color w:val="0F172A"/>
          <w:sz w:val="20"/>
          <w:szCs w:val="20"/>
        </w:rPr>
        <w:t xml:space="preserve">Present shadow-mode results and KPI baseline to Chief Architect and Head of Infrastructure. Formal sign-off documented before Q2 begins.</w:t>
      </w:r>
    </w:p>
    <w:p>
      <w:pPr>
        <w:spacing w:after="60" w:before="60"/>
      </w:pPr>
    </w:p>
    <w:tbl>
      <w:tblPr>
        <w:tblW w:type="pct" w:w="100%"/>
        <w:tblBorders>
          <w:top w:val="none"/>
          <w:left w:val="none"/>
          <w:bottom w:val="none"/>
          <w:right w:val="none"/>
          <w:insideH w:val="single" w:color="auto" w:sz="4"/>
          <w:insideV w:val="single" w:color="auto" w:sz="4"/>
        </w:tblBorders>
      </w:tblPr>
      <w:tblGrid>
        <w:gridCol w:w="9200"/>
      </w:tblGrid>
      <w:tr>
        <w:tc>
          <w:tcPr>
            <w:shd w:fill="2563EB" w:color="2563EB" w:val="clear"/>
            <w:tcMar>
              <w:top w:type="dxa" w:w="120"/>
              <w:left w:type="dxa" w:w="200"/>
              <w:bottom w:type="dxa" w:w="120"/>
              <w:right w:type="dxa" w:w="200"/>
            </w:tcMar>
          </w:tcPr>
          <w:p>
            <w:pPr>
              <w:spacing w:after="100" w:before="100"/>
            </w:pPr>
            <w:r>
              <w:rPr>
                <w:b/>
                <w:bCs/>
                <w:color w:val="FFFFFF"/>
                <w:sz w:val="22"/>
                <w:szCs w:val="22"/>
              </w:rPr>
              <w:t xml:space="preserve">Q2 — Strangler Fig Cutover &amp; Portfolio Fan-In Migration</w:t>
            </w:r>
          </w:p>
        </w:tc>
      </w:tr>
    </w:tbl>
    <w:p>
      <w:pPr>
        <w:spacing w:after="60" w:before="60"/>
      </w:pPr>
    </w:p>
    <w:p>
      <w:pPr>
        <w:pStyle w:val="Heading3"/>
        <w:spacing w:after="120" w:before="240"/>
        <w:rPr>
          <w:color w:val="475569"/>
          <w:sz w:val="24"/>
          <w:szCs w:val="24"/>
        </w:rPr>
      </w:pPr>
      <w:r>
        <w:t xml:space="preserve">Month 4 — Traffic Bifurcation: New Dispatcher Goes Live (1% → 10%)</w:t>
      </w:r>
    </w:p>
    <w:p>
      <w:pPr>
        <w:spacing w:after="140" w:before="100"/>
        <w:jc w:val="both"/>
      </w:pPr>
      <w:r>
        <w:rPr>
          <w:b w:val="false"/>
          <w:bCs w:val="false"/>
          <w:i/>
          <w:iCs/>
          <w:color w:val="475569"/>
          <w:sz w:val="19"/>
          <w:szCs w:val="19"/>
        </w:rPr>
        <w:t xml:space="preserve">Owner: event-orchestration + orchestration teams. Risk: Medium — first production routing via new path, legacy path remains active as fallback.</w:t>
      </w:r>
    </w:p>
    <w:p>
      <w:pPr>
        <w:pStyle w:val="ListParagraph"/>
        <w:numPr>
          <w:ilvl w:val="0"/>
          <w:numId w:val="1"/>
        </w:numPr>
        <w:spacing w:after="80" w:before="60"/>
      </w:pPr>
      <w:r>
        <w:rPr>
          <w:b/>
          <w:bCs/>
          <w:color w:val="0F172A"/>
          <w:sz w:val="20"/>
          <w:szCs w:val="20"/>
        </w:rPr>
        <w:t xml:space="preserve">Feature flag in event-orchestration:  </w:t>
      </w:r>
      <w:r>
        <w:rPr>
          <w:b w:val="false"/>
          <w:bCs w:val="false"/>
          <w:color w:val="0F172A"/>
          <w:sz w:val="20"/>
          <w:szCs w:val="20"/>
        </w:rPr>
        <w:t xml:space="preserve">Add a runtime-configurable routing flag (loaded from system_properties DB table, no redeploy) that directs a percentage of incoming events to the new Dispatcher DAG instead of the legacy Control DAG. Start at 1%, increase to 10% within the month after zero-error confirmation.</w:t>
      </w:r>
    </w:p>
    <w:p>
      <w:pPr>
        <w:pStyle w:val="ListParagraph"/>
        <w:numPr>
          <w:ilvl w:val="0"/>
          <w:numId w:val="1"/>
        </w:numPr>
        <w:spacing w:after="80" w:before="60"/>
      </w:pPr>
      <w:r>
        <w:rPr>
          <w:b/>
          <w:bCs/>
          <w:color w:val="0F172A"/>
          <w:sz w:val="20"/>
          <w:szCs w:val="20"/>
        </w:rPr>
        <w:t xml:space="preserve">Dual-write audit:  </w:t>
      </w:r>
      <w:r>
        <w:rPr>
          <w:b w:val="false"/>
          <w:bCs w:val="false"/>
          <w:color w:val="0F172A"/>
          <w:sz w:val="20"/>
          <w:szCs w:val="20"/>
        </w:rPr>
        <w:t xml:space="preserve">For every event routed via the Dispatcher, continue to log the shadow comparison result. Any divergence from the expected routing (as validated in Q1 shadow mode) triggers an automatic rollback to 0% and a PagerDuty alert.</w:t>
      </w:r>
    </w:p>
    <w:p>
      <w:pPr>
        <w:pStyle w:val="ListParagraph"/>
        <w:numPr>
          <w:ilvl w:val="0"/>
          <w:numId w:val="1"/>
        </w:numPr>
        <w:spacing w:after="80" w:before="60"/>
      </w:pPr>
      <w:r>
        <w:rPr>
          <w:b/>
          <w:bCs/>
          <w:color w:val="0F172A"/>
          <w:sz w:val="20"/>
          <w:szCs w:val="20"/>
        </w:rPr>
        <w:t xml:space="preserve">Rollback SOP:  </w:t>
      </w:r>
      <w:r>
        <w:rPr>
          <w:b w:val="false"/>
          <w:bCs w:val="false"/>
          <w:color w:val="0F172A"/>
          <w:sz w:val="20"/>
          <w:szCs w:val="20"/>
        </w:rPr>
        <w:t xml:space="preserve">A single system_properties UPDATE rolls the dispatcher flag to 0%. Runbook documented, rehearsed with the on-call team before Month 4 begins.</w:t>
      </w:r>
    </w:p>
    <w:p>
      <w:pPr>
        <w:pStyle w:val="Heading3"/>
        <w:spacing w:after="120" w:before="240"/>
        <w:rPr>
          <w:color w:val="475569"/>
          <w:sz w:val="24"/>
          <w:szCs w:val="24"/>
        </w:rPr>
      </w:pPr>
      <w:r>
        <w:t xml:space="preserve">Month 5 — Full Dispatcher Cutover (100%) &amp; Portfolio Fan-In Migration</w:t>
      </w:r>
    </w:p>
    <w:p>
      <w:pPr>
        <w:spacing w:after="140" w:before="100"/>
        <w:jc w:val="both"/>
      </w:pPr>
      <w:r>
        <w:rPr>
          <w:b w:val="false"/>
          <w:bCs w:val="false"/>
          <w:i/>
          <w:iCs/>
          <w:color w:val="475569"/>
          <w:sz w:val="19"/>
          <w:szCs w:val="19"/>
        </w:rPr>
        <w:t xml:space="preserve">Risk: Medium — portfolio fan-in is the highest-complexity migration item; isolated to portfolio DAGs only.</w:t>
      </w:r>
    </w:p>
    <w:p>
      <w:pPr>
        <w:pStyle w:val="ListParagraph"/>
        <w:numPr>
          <w:ilvl w:val="0"/>
          <w:numId w:val="1"/>
        </w:numPr>
        <w:spacing w:after="80" w:before="60"/>
      </w:pPr>
      <w:r>
        <w:rPr>
          <w:b/>
          <w:bCs/>
          <w:color w:val="0F172A"/>
          <w:sz w:val="20"/>
          <w:szCs w:val="20"/>
        </w:rPr>
        <w:t xml:space="preserve">100% dispatcher cutover:  </w:t>
      </w:r>
      <w:r>
        <w:rPr>
          <w:b w:val="false"/>
          <w:bCs w:val="false"/>
          <w:color w:val="0F172A"/>
          <w:sz w:val="20"/>
          <w:szCs w:val="20"/>
        </w:rPr>
        <w:t xml:space="preserve">Ramp feature flag from 10% to 100% over a two-week period (10% → 50% → 100%), gating each increment on zero divergence in the audit log. Legacy Control DAG is set to paused (not deleted) as an emergency fallback.</w:t>
      </w:r>
    </w:p>
    <w:p>
      <w:pPr>
        <w:pStyle w:val="ListParagraph"/>
        <w:numPr>
          <w:ilvl w:val="0"/>
          <w:numId w:val="1"/>
        </w:numPr>
        <w:spacing w:after="80" w:before="60"/>
      </w:pPr>
      <w:r>
        <w:rPr>
          <w:b/>
          <w:bCs/>
          <w:color w:val="0F172A"/>
          <w:sz w:val="20"/>
          <w:szCs w:val="20"/>
        </w:rPr>
        <w:t xml:space="preserve">Portfolio fan-in migration:  </w:t>
      </w:r>
      <w:r>
        <w:rPr>
          <w:b w:val="false"/>
          <w:bCs w:val="false"/>
          <w:color w:val="0F172A"/>
          <w:sz w:val="20"/>
          <w:szCs w:val="20"/>
        </w:rPr>
        <w:t xml:space="preserve">Replace the mutable Airflow Variable accumulator in CHECK_IS_CAPITALCALC_RUNS_READY_CONDITION with a call to the reconciled readiness query. Deploy to a single portfolio DAG first (e.g., portfolio_daily_dag for AMER) as a canary. Validate against the existing Variable-based result for 5 business days before migrating all portfolio DAGs.</w:t>
      </w:r>
    </w:p>
    <w:p>
      <w:pPr>
        <w:pStyle w:val="ListParagraph"/>
        <w:numPr>
          <w:ilvl w:val="0"/>
          <w:numId w:val="1"/>
        </w:numPr>
        <w:spacing w:after="80" w:before="60"/>
      </w:pPr>
      <w:r>
        <w:rPr>
          <w:b/>
          <w:bCs/>
          <w:color w:val="0F172A"/>
          <w:sz w:val="20"/>
          <w:szCs w:val="20"/>
        </w:rPr>
        <w:t xml:space="preserve">Variable deprecation:  </w:t>
      </w:r>
      <w:r>
        <w:rPr>
          <w:b w:val="false"/>
          <w:bCs w:val="false"/>
          <w:color w:val="0F172A"/>
          <w:sz w:val="20"/>
          <w:szCs w:val="20"/>
        </w:rPr>
        <w:t xml:space="preserve">Once all portfolio DAGs are migrated, archive the legacy Airflow Variables (read-only snapshot). Do not delete until Q3 validation is complete.</w:t>
      </w:r>
    </w:p>
    <w:p>
      <w:pPr>
        <w:pStyle w:val="Heading3"/>
        <w:spacing w:after="120" w:before="240"/>
        <w:rPr>
          <w:color w:val="475569"/>
          <w:sz w:val="24"/>
          <w:szCs w:val="24"/>
        </w:rPr>
      </w:pPr>
      <w:r>
        <w:t xml:space="preserve">Month 6 — Calculator DAG Pre-condition Removal &amp; Registry Unification</w:t>
      </w:r>
    </w:p>
    <w:p>
      <w:pPr>
        <w:spacing w:after="140" w:before="100"/>
        <w:jc w:val="both"/>
      </w:pPr>
      <w:r>
        <w:rPr>
          <w:b w:val="false"/>
          <w:bCs w:val="false"/>
          <w:i/>
          <w:iCs/>
          <w:color w:val="475569"/>
          <w:sz w:val="19"/>
          <w:szCs w:val="19"/>
        </w:rPr>
        <w:t xml:space="preserve">Risk: Low — by this point all routing is through the dispatcher; removing dead pre-condition code from calculator DAGs is safe.</w:t>
      </w:r>
    </w:p>
    <w:p>
      <w:pPr>
        <w:pStyle w:val="ListParagraph"/>
        <w:numPr>
          <w:ilvl w:val="0"/>
          <w:numId w:val="1"/>
        </w:numPr>
        <w:spacing w:after="80" w:before="60"/>
      </w:pPr>
      <w:r>
        <w:rPr>
          <w:b/>
          <w:bCs/>
          <w:color w:val="0F172A"/>
          <w:sz w:val="20"/>
          <w:szCs w:val="20"/>
        </w:rPr>
        <w:t xml:space="preserve">OTHER_PRE_CONDITIONS removal:  </w:t>
      </w:r>
      <w:r>
        <w:rPr>
          <w:b w:val="false"/>
          <w:bCs w:val="false"/>
          <w:color w:val="0F172A"/>
          <w:sz w:val="20"/>
          <w:szCs w:val="20"/>
        </w:rPr>
        <w:t xml:space="preserve">Delete FrequencyCriteria, H3RegionCriteria, RunTypeCriteria, CompanyCodeCriteria task groups from all calculator DAGs. Calculator DAGs now start directly at CALC_INIT. Eliminates the Level 2 skip pattern completely.</w:t>
      </w:r>
    </w:p>
    <w:p>
      <w:pPr>
        <w:pStyle w:val="ListParagraph"/>
        <w:numPr>
          <w:ilvl w:val="0"/>
          <w:numId w:val="1"/>
        </w:numPr>
        <w:spacing w:after="80" w:before="60"/>
      </w:pPr>
      <w:r>
        <w:rPr>
          <w:b/>
          <w:bCs/>
          <w:color w:val="0F172A"/>
          <w:sz w:val="20"/>
          <w:szCs w:val="20"/>
        </w:rPr>
        <w:t xml:space="preserve">post_filter_control_dag_map retirement:  </w:t>
      </w:r>
      <w:r>
        <w:rPr>
          <w:b w:val="false"/>
          <w:bCs w:val="false"/>
          <w:color w:val="0F172A"/>
          <w:sz w:val="20"/>
          <w:szCs w:val="20"/>
        </w:rPr>
        <w:t xml:space="preserve">The Scala routing table in event-orchestration is superseded by the CEL registry. Archive the table (rename to _deprecated), remove the DB read from EventFilter.scala, replace with a single static route to the tenant dispatcher.</w:t>
      </w:r>
    </w:p>
    <w:p>
      <w:pPr>
        <w:pStyle w:val="ListParagraph"/>
        <w:numPr>
          <w:ilvl w:val="0"/>
          <w:numId w:val="1"/>
        </w:numPr>
        <w:spacing w:after="80" w:before="60"/>
      </w:pPr>
      <w:r>
        <w:rPr>
          <w:b/>
          <w:bCs/>
          <w:color w:val="0F172A"/>
          <w:sz w:val="20"/>
          <w:szCs w:val="20"/>
        </w:rPr>
        <w:t xml:space="preserve">dag_trigger_criteria_map.json retirement:  </w:t>
      </w:r>
      <w:r>
        <w:rPr>
          <w:b w:val="false"/>
          <w:bCs w:val="false"/>
          <w:color w:val="0F172A"/>
          <w:sz w:val="20"/>
          <w:szCs w:val="20"/>
        </w:rPr>
        <w:t xml:space="preserve">The legacy Python JSON registry is superseded by the CEL registry v2. Remove from the orchestration-dags codebase. CI enforces that new DAGs can only be registered via the CEL registry.</w:t>
      </w:r>
    </w:p>
    <w:p>
      <w:pPr>
        <w:spacing w:after="60" w:before="60"/>
      </w:pPr>
    </w:p>
    <w:tbl>
      <w:tblPr>
        <w:tblW w:type="pct" w:w="100%"/>
        <w:tblBorders>
          <w:top w:val="none"/>
          <w:left w:val="none"/>
          <w:bottom w:val="none"/>
          <w:right w:val="none"/>
          <w:insideH w:val="single" w:color="auto" w:sz="4"/>
          <w:insideV w:val="single" w:color="auto" w:sz="4"/>
        </w:tblBorders>
      </w:tblPr>
      <w:tblGrid>
        <w:gridCol w:w="9200"/>
      </w:tblGrid>
      <w:tr>
        <w:tc>
          <w:tcPr>
            <w:shd w:fill="16A34A" w:color="16A34A" w:val="clear"/>
            <w:tcMar>
              <w:top w:type="dxa" w:w="120"/>
              <w:left w:type="dxa" w:w="200"/>
              <w:bottom w:type="dxa" w:w="120"/>
              <w:right w:type="dxa" w:w="200"/>
            </w:tcMar>
          </w:tcPr>
          <w:p>
            <w:pPr>
              <w:spacing w:after="100" w:before="100"/>
            </w:pPr>
            <w:r>
              <w:rPr>
                <w:b/>
                <w:bCs/>
                <w:color w:val="FFFFFF"/>
                <w:sz w:val="22"/>
                <w:szCs w:val="22"/>
              </w:rPr>
              <w:t xml:space="preserve">Q3 — Hardening, Observability &amp; Legacy Decommission</w:t>
            </w:r>
          </w:p>
        </w:tc>
      </w:tr>
    </w:tbl>
    <w:p>
      <w:pPr>
        <w:spacing w:after="60" w:before="60"/>
      </w:pPr>
    </w:p>
    <w:p>
      <w:pPr>
        <w:pStyle w:val="Heading3"/>
        <w:spacing w:after="120" w:before="240"/>
        <w:rPr>
          <w:color w:val="475569"/>
          <w:sz w:val="24"/>
          <w:szCs w:val="24"/>
        </w:rPr>
      </w:pPr>
      <w:r>
        <w:t xml:space="preserve">Month 7 — Observability &amp; Audit Infrastructure</w:t>
      </w:r>
    </w:p>
    <w:p>
      <w:pPr>
        <w:pStyle w:val="ListParagraph"/>
        <w:numPr>
          <w:ilvl w:val="0"/>
          <w:numId w:val="1"/>
        </w:numPr>
        <w:spacing w:after="80" w:before="60"/>
      </w:pPr>
      <w:r>
        <w:rPr>
          <w:b/>
          <w:bCs/>
          <w:color w:val="0F172A"/>
          <w:sz w:val="20"/>
          <w:szCs w:val="20"/>
        </w:rPr>
        <w:t xml:space="preserve">Routing audit log:  </w:t>
      </w:r>
      <w:r>
        <w:rPr>
          <w:b w:val="false"/>
          <w:bCs w:val="false"/>
          <w:color w:val="0F172A"/>
          <w:sz w:val="20"/>
          <w:szCs w:val="20"/>
        </w:rPr>
        <w:t xml:space="preserve">Promote the shadow_routing_comparison table to a permanent routing_audit_log. Every dispatch decision (event_id, rule_id, dag_id, matched: bool, reason, ts) is durably recorded. Powers both operational dashboards and regulatory audit trails of "why was this calculator triggered."</w:t>
      </w:r>
    </w:p>
    <w:p>
      <w:pPr>
        <w:pStyle w:val="ListParagraph"/>
        <w:numPr>
          <w:ilvl w:val="0"/>
          <w:numId w:val="1"/>
        </w:numPr>
        <w:spacing w:after="80" w:before="60"/>
      </w:pPr>
      <w:r>
        <w:rPr>
          <w:b/>
          <w:bCs/>
          <w:color w:val="0F172A"/>
          <w:sz w:val="20"/>
          <w:szCs w:val="20"/>
        </w:rPr>
        <w:t xml:space="preserve">SLA monitoring:  </w:t>
      </w:r>
      <w:r>
        <w:rPr>
          <w:b w:val="false"/>
          <w:bCs w:val="false"/>
          <w:color w:val="0F172A"/>
          <w:sz w:val="20"/>
          <w:szCs w:val="20"/>
        </w:rPr>
        <w:t xml:space="preserve">Instrument the time-to-trigger metric (event ingested → calculator DAG triggered) with Prometheus counters emitted from evaluate_and_dispatch. Alert threshold: p99 &gt; 30s (current baseline is tens of minutes under load).</w:t>
      </w:r>
    </w:p>
    <w:p>
      <w:pPr>
        <w:pStyle w:val="ListParagraph"/>
        <w:numPr>
          <w:ilvl w:val="0"/>
          <w:numId w:val="1"/>
        </w:numPr>
        <w:spacing w:after="80" w:before="60"/>
      </w:pPr>
      <w:r>
        <w:rPr>
          <w:b/>
          <w:bCs/>
          <w:color w:val="0F172A"/>
          <w:sz w:val="20"/>
          <w:szCs w:val="20"/>
        </w:rPr>
        <w:t xml:space="preserve">Kafka DLQ:  </w:t>
      </w:r>
      <w:r>
        <w:rPr>
          <w:b w:val="false"/>
          <w:bCs w:val="false"/>
          <w:color w:val="0F172A"/>
          <w:sz w:val="20"/>
          <w:szCs w:val="20"/>
        </w:rPr>
        <w:t xml:space="preserve">Implement a Dead Letter Queue for the EDF Kafka consumer in event-orchestration. Unprocessable events (deserialization failures, EDF Context Service timeouts after retries) are routed to the DLQ with full payload and error metadata. Alerting on non-zero DLQ depth.</w:t>
      </w:r>
    </w:p>
    <w:p>
      <w:pPr>
        <w:pStyle w:val="Heading3"/>
        <w:spacing w:after="120" w:before="240"/>
        <w:rPr>
          <w:color w:val="475569"/>
          <w:sz w:val="24"/>
          <w:szCs w:val="24"/>
        </w:rPr>
      </w:pPr>
      <w:r>
        <w:t xml:space="preserve">Month 8 — Reconciliation Heartbeat &amp; Reliability Hardening</w:t>
      </w:r>
    </w:p>
    <w:p>
      <w:pPr>
        <w:pStyle w:val="ListParagraph"/>
        <w:numPr>
          <w:ilvl w:val="0"/>
          <w:numId w:val="1"/>
        </w:numPr>
        <w:spacing w:after="80" w:before="60"/>
      </w:pPr>
      <w:r>
        <w:rPr>
          <w:b/>
          <w:bCs/>
          <w:color w:val="0F172A"/>
          <w:sz w:val="20"/>
          <w:szCs w:val="20"/>
        </w:rPr>
        <w:t xml:space="preserve">Heartbeat scheduler:  </w:t>
      </w:r>
      <w:r>
        <w:rPr>
          <w:b w:val="false"/>
          <w:bCs w:val="false"/>
          <w:color w:val="0F172A"/>
          <w:sz w:val="20"/>
          <w:szCs w:val="20"/>
        </w:rPr>
        <w:t xml:space="preserve">Deploy the reconciliation heartbeat as a lightweight CronJob (Kubernetes / Airflow DAG with schedule_interval="*/30 * * * 1-5") that re-evaluates open business dates against the CEL registry's await.all_of blocks. Provides automatic recovery from out-of-order or delayed event delivery without operator intervention.</w:t>
      </w:r>
    </w:p>
    <w:p>
      <w:pPr>
        <w:pStyle w:val="ListParagraph"/>
        <w:numPr>
          <w:ilvl w:val="0"/>
          <w:numId w:val="1"/>
        </w:numPr>
        <w:spacing w:after="80" w:before="60"/>
      </w:pPr>
      <w:r>
        <w:rPr>
          <w:b/>
          <w:bCs/>
          <w:color w:val="0F172A"/>
          <w:sz w:val="20"/>
          <w:szCs w:val="20"/>
        </w:rPr>
        <w:t xml:space="preserve">Idempotency audit:  </w:t>
      </w:r>
      <w:r>
        <w:rPr>
          <w:b w:val="false"/>
          <w:bCs w:val="false"/>
          <w:color w:val="0F172A"/>
          <w:sz w:val="20"/>
          <w:szCs w:val="20"/>
        </w:rPr>
        <w:t xml:space="preserve">Verify that the existing dag_run_id = orch_sha1(dag_id+conf)[:16] idempotency key is collision-resistant under the new dispatch volume. If hash space is a concern, extend to SHA-256 truncated to 32 chars.</w:t>
      </w:r>
    </w:p>
    <w:p>
      <w:pPr>
        <w:pStyle w:val="ListParagraph"/>
        <w:numPr>
          <w:ilvl w:val="0"/>
          <w:numId w:val="1"/>
        </w:numPr>
        <w:spacing w:after="80" w:before="60"/>
      </w:pPr>
      <w:r>
        <w:rPr>
          <w:b/>
          <w:bCs/>
          <w:color w:val="0F172A"/>
          <w:sz w:val="20"/>
          <w:szCs w:val="20"/>
        </w:rPr>
        <w:t xml:space="preserve">Framework version alignment:  </w:t>
      </w:r>
      <w:r>
        <w:rPr>
          <w:b w:val="false"/>
          <w:bCs w:val="false"/>
          <w:color w:val="0F172A"/>
          <w:sz w:val="20"/>
          <w:szCs w:val="20"/>
        </w:rPr>
        <w:t xml:space="preserve">Resolve the orchestration 5.2.4 vs 5.3.0 version skew between orchestration-dags and orchestration framework. Standardize on 5.3.0 and retire the dual-completion STATE legacy path alongside this upgrade.</w:t>
      </w:r>
    </w:p>
    <w:p>
      <w:pPr>
        <w:pStyle w:val="Heading3"/>
        <w:spacing w:after="120" w:before="240"/>
        <w:rPr>
          <w:color w:val="475569"/>
          <w:sz w:val="24"/>
          <w:szCs w:val="24"/>
        </w:rPr>
      </w:pPr>
      <w:r>
        <w:t xml:space="preserve">Month 9 — Legacy Decommission &amp; Final KPI Review</w:t>
      </w:r>
    </w:p>
    <w:p>
      <w:pPr>
        <w:pStyle w:val="ListParagraph"/>
        <w:numPr>
          <w:ilvl w:val="0"/>
          <w:numId w:val="1"/>
        </w:numPr>
        <w:spacing w:after="80" w:before="60"/>
      </w:pPr>
      <w:r>
        <w:rPr>
          <w:b/>
          <w:bCs/>
          <w:color w:val="0F172A"/>
          <w:sz w:val="20"/>
          <w:szCs w:val="20"/>
        </w:rPr>
        <w:t xml:space="preserve">Legacy Control DAG deletion:  </w:t>
      </w:r>
      <w:r>
        <w:rPr>
          <w:b w:val="false"/>
          <w:bCs w:val="false"/>
          <w:color w:val="0F172A"/>
          <w:sz w:val="20"/>
          <w:szCs w:val="20"/>
        </w:rPr>
        <w:t xml:space="preserve">After 90 days of zero legacy traffic, delete orchestration_control_dag.py and orchestration_control_dag_capital.py from the repository. Remove create_control_tasks and DagTriggerWithConditionTaskGroup from common/dag_utils.py (or retain as dead-letter in an archive branch for reference).</w:t>
      </w:r>
    </w:p>
    <w:p>
      <w:pPr>
        <w:pStyle w:val="ListParagraph"/>
        <w:numPr>
          <w:ilvl w:val="0"/>
          <w:numId w:val="1"/>
        </w:numPr>
        <w:spacing w:after="80" w:before="60"/>
      </w:pPr>
      <w:r>
        <w:rPr>
          <w:b/>
          <w:bCs/>
          <w:color w:val="0F172A"/>
          <w:sz w:val="20"/>
          <w:szCs w:val="20"/>
        </w:rPr>
        <w:t xml:space="preserve">Deprecated table cleanup:  </w:t>
      </w:r>
      <w:r>
        <w:rPr>
          <w:b w:val="false"/>
          <w:bCs w:val="false"/>
          <w:color w:val="0F172A"/>
          <w:sz w:val="20"/>
          <w:szCs w:val="20"/>
        </w:rPr>
        <w:t xml:space="preserve">Drop post_filter_control_dag_map_deprecated from PostgreSQL. Remove corresponding JdbcTemplate queries from DatabaseEventRepository.scala.</w:t>
      </w:r>
    </w:p>
    <w:p>
      <w:pPr>
        <w:pStyle w:val="ListParagraph"/>
        <w:numPr>
          <w:ilvl w:val="0"/>
          <w:numId w:val="1"/>
        </w:numPr>
        <w:spacing w:after="80" w:before="60"/>
      </w:pPr>
      <w:r>
        <w:rPr>
          <w:b/>
          <w:bCs/>
          <w:color w:val="0F172A"/>
          <w:sz w:val="20"/>
          <w:szCs w:val="20"/>
        </w:rPr>
        <w:t xml:space="preserve">KPI review against baseline:  </w:t>
      </w:r>
      <w:r>
        <w:rPr>
          <w:b w:val="false"/>
          <w:bCs w:val="false"/>
          <w:color w:val="0F172A"/>
          <w:sz w:val="20"/>
          <w:szCs w:val="20"/>
        </w:rPr>
        <w:t xml:space="preserve">Present final measured KPIs to the Chief Architect and CTO against the baseline captured in Month 3. Confirm all targets met. Document lessons learned.</w:t>
      </w:r>
    </w:p>
    <w:p>
      <w:pPr>
        <w:pStyle w:val="ListParagraph"/>
        <w:numPr>
          <w:ilvl w:val="0"/>
          <w:numId w:val="1"/>
        </w:numPr>
        <w:spacing w:after="80" w:before="60"/>
      </w:pPr>
      <w:r>
        <w:rPr>
          <w:b/>
          <w:bCs/>
          <w:color w:val="0F172A"/>
          <w:sz w:val="20"/>
          <w:szCs w:val="20"/>
        </w:rPr>
        <w:t xml:space="preserve">Correlation service on-ramp (optional):  </w:t>
      </w:r>
      <w:r>
        <w:rPr>
          <w:b w:val="false"/>
          <w:bCs w:val="false"/>
          <w:color w:val="0F172A"/>
          <w:sz w:val="20"/>
          <w:szCs w:val="20"/>
        </w:rPr>
        <w:t xml:space="preserve">If the Correlation Service integration was identified as a future requirement during Q2, Q3 Month 9 is the appropriate on-ramp point: the dispatcher's pluggable trigger-source strategy allows routing a subset of DAGs to the Correlation Service without re-architecting the dispatch layer.</w:t>
      </w:r>
    </w:p>
    <w:p>
      <w:r>
        <w:br w:type="page"/>
      </w:r>
    </w:p>
    <w:p>
      <w:pPr>
        <w:pStyle w:val="Heading1"/>
        <w:spacing w:after="200" w:before="360"/>
        <w:rPr>
          <w:b/>
          <w:bCs/>
          <w:color w:val="1B2A4A"/>
          <w:sz w:val="36"/>
          <w:szCs w:val="36"/>
        </w:rPr>
      </w:pPr>
      <w:r>
        <w:t xml:space="preserve">4. Success Metrics &amp; KPIs for Management</w:t>
      </w:r>
    </w:p>
    <w:p>
      <w:pPr>
        <w:pStyle w:val="Heading2"/>
        <w:spacing w:after="160" w:before="320"/>
        <w:rPr>
          <w:color w:val="1B2A4A"/>
          <w:sz w:val="28"/>
          <w:szCs w:val="28"/>
        </w:rPr>
      </w:pPr>
      <w:r>
        <w:t xml:space="preserve">4.1 Primary KPI Table: Current State vs. Target State</w:t>
      </w:r>
    </w:p>
    <w:p>
      <w:pPr>
        <w:spacing w:after="140" w:before="100"/>
        <w:jc w:val="both"/>
      </w:pPr>
      <w:r>
        <w:rPr>
          <w:b w:val="false"/>
          <w:bCs w:val="false"/>
          <w:color w:val="0F172A"/>
          <w:sz w:val="20"/>
          <w:szCs w:val="20"/>
        </w:rPr>
        <w:t xml:space="preserve">The following table provides the management-level view of measurable outcomes. Baseline values for Current State metrics will be formally captured during Q1 Month 3 before any production routing change is made.</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1400"/>
        <w:gridCol w:w="2300"/>
        <w:gridCol w:w="2100"/>
        <w:gridCol w:w="1100"/>
      </w:tblGrid>
      <w:tr>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KPI</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Category</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Current State</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Target State</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Improvement</w:t>
            </w:r>
          </w:p>
        </w:tc>
      </w:tr>
      <w:tr>
        <w:tc>
          <w:tcPr>
            <w:shd w:fill="F1F5F9" w:color="F1F5F9" w:val="clear"/>
            <w:tcMar>
              <w:top w:type="dxa" w:w="60"/>
              <w:left w:type="dxa" w:w="120"/>
              <w:bottom w:type="dxa" w:w="60"/>
              <w:right w:type="dxa" w:w="120"/>
            </w:tcMar>
          </w:tcPr>
          <w:p>
            <w:pPr>
              <w:spacing w:after="60" w:before="60"/>
              <w:jc w:val="left"/>
            </w:pPr>
            <w:r>
              <w:rPr>
                <w:b/>
                <w:bCs/>
                <w:color w:val="0F172A"/>
                <w:sz w:val="17"/>
                <w:szCs w:val="17"/>
              </w:rPr>
              <w:t xml:space="preserve">Airflow task instances
per single incoming event</w:t>
            </w:r>
          </w:p>
        </w:tc>
        <w:tc>
          <w:tcPr>
            <w:shd w:fill="F1F5F9" w:color="F1F5F9" w:val="clear"/>
            <w:tcMar>
              <w:top w:type="dxa" w:w="60"/>
              <w:left w:type="dxa" w:w="120"/>
              <w:bottom w:type="dxa" w:w="60"/>
              <w:right w:type="dxa" w:w="120"/>
            </w:tcMar>
          </w:tcPr>
          <w:p>
            <w:pPr>
              <w:spacing w:after="60" w:before="60"/>
              <w:jc w:val="left"/>
            </w:pPr>
            <w:r>
              <w:rPr>
                <w:b w:val="false"/>
                <w:bCs w:val="false"/>
                <w:i/>
                <w:iCs/>
                <w:color w:val="475569"/>
                <w:sz w:val="17"/>
                <w:szCs w:val="17"/>
              </w:rPr>
              <w:t xml:space="preserve">Churn / Efficiency</w:t>
            </w:r>
          </w:p>
        </w:tc>
        <w:tc>
          <w:tcPr>
            <w:shd w:fill="FEE2E2" w:color="FEE2E2" w:val="clear"/>
            <w:tcMar>
              <w:top w:type="dxa" w:w="60"/>
              <w:left w:type="dxa" w:w="120"/>
              <w:bottom w:type="dxa" w:w="60"/>
              <w:right w:type="dxa" w:w="120"/>
            </w:tcMar>
          </w:tcPr>
          <w:p>
            <w:pPr>
              <w:spacing w:after="60" w:before="60"/>
              <w:jc w:val="left"/>
            </w:pPr>
            <w:r>
              <w:rPr>
                <w:b/>
                <w:bCs/>
                <w:color w:val="DC2626"/>
                <w:sz w:val="17"/>
                <w:szCs w:val="17"/>
              </w:rPr>
              <w:t xml:space="preserve">~150–300+ task instances</w:t>
            </w:r>
            <w:r>
              <w:rPr>
                <w:b w:val="false"/>
                <w:bCs w:val="false"/>
                <w:color w:val="0F172A"/>
                <w:sz w:val="17"/>
                <w:szCs w:val="17"/>
              </w:rPr>
              <w:t xml:space="preserve">
(~85 task groups × 2–4 tasks each; all-but-one skipped via AirflowSkipException)</w:t>
            </w:r>
          </w:p>
        </w:tc>
        <w:tc>
          <w:tcPr>
            <w:shd w:fill="DCFCE7" w:color="DCFCE7" w:val="clear"/>
            <w:tcMar>
              <w:top w:type="dxa" w:w="60"/>
              <w:left w:type="dxa" w:w="120"/>
              <w:bottom w:type="dxa" w:w="60"/>
              <w:right w:type="dxa" w:w="120"/>
            </w:tcMar>
          </w:tcPr>
          <w:p>
            <w:pPr>
              <w:spacing w:after="60" w:before="60"/>
              <w:jc w:val="left"/>
            </w:pPr>
            <w:r>
              <w:rPr>
                <w:b/>
                <w:bCs/>
                <w:color w:val="16A34A"/>
                <w:sz w:val="17"/>
                <w:szCs w:val="17"/>
              </w:rPr>
              <w:t xml:space="preserve">1 task instance</w:t>
            </w:r>
            <w:r>
              <w:rPr>
                <w:b w:val="false"/>
                <w:bCs w:val="false"/>
                <w:color w:val="0F172A"/>
                <w:sz w:val="17"/>
                <w:szCs w:val="17"/>
              </w:rPr>
              <w:t xml:space="preserve">
(single evaluate_and_dispatch; zero skipped tasks)</w:t>
            </w:r>
          </w:p>
        </w:tc>
        <w:tc>
          <w:tcPr>
            <w:shd w:fill="DCFCE7" w:color="DCFCE7" w:val="clear"/>
            <w:tcMar>
              <w:top w:type="dxa" w:w="80"/>
              <w:left w:type="dxa" w:w="80"/>
              <w:bottom w:type="dxa" w:w="80"/>
              <w:right w:type="dxa" w:w="80"/>
            </w:tcMar>
            <w:vAlign w:val="center"/>
          </w:tcPr>
          <w:p>
            <w:pPr>
              <w:spacing w:after="80" w:before="80"/>
              <w:jc w:val="center"/>
            </w:pPr>
            <w:r>
              <w:rPr>
                <w:b/>
                <w:bCs/>
                <w:color w:val="16A34A"/>
                <w:sz w:val="18"/>
                <w:szCs w:val="18"/>
              </w:rPr>
              <w:t xml:space="preserve">95–99%
reduction</w:t>
            </w:r>
          </w:p>
        </w:tc>
      </w:tr>
      <w:tr>
        <w:tc>
          <w:tcPr>
            <w:shd w:fill="FFFFFF" w:color="FFFFFF" w:val="clear"/>
            <w:tcMar>
              <w:top w:type="dxa" w:w="60"/>
              <w:left w:type="dxa" w:w="120"/>
              <w:bottom w:type="dxa" w:w="60"/>
              <w:right w:type="dxa" w:w="120"/>
            </w:tcMar>
          </w:tcPr>
          <w:p>
            <w:pPr>
              <w:spacing w:after="60" w:before="60"/>
              <w:jc w:val="left"/>
            </w:pPr>
            <w:r>
              <w:rPr>
                <w:b/>
                <w:bCs/>
                <w:color w:val="0F172A"/>
                <w:sz w:val="17"/>
                <w:szCs w:val="17"/>
              </w:rPr>
              <w:t xml:space="preserve">Wasted DAG runs
(portfolio fan-in)</w:t>
            </w:r>
          </w:p>
        </w:tc>
        <w:tc>
          <w:tcPr>
            <w:shd w:fill="FFFFFF" w:color="FFFFFF" w:val="clear"/>
            <w:tcMar>
              <w:top w:type="dxa" w:w="60"/>
              <w:left w:type="dxa" w:w="120"/>
              <w:bottom w:type="dxa" w:w="60"/>
              <w:right w:type="dxa" w:w="120"/>
            </w:tcMar>
          </w:tcPr>
          <w:p>
            <w:pPr>
              <w:spacing w:after="60" w:before="60"/>
              <w:jc w:val="left"/>
            </w:pPr>
            <w:r>
              <w:rPr>
                <w:b w:val="false"/>
                <w:bCs w:val="false"/>
                <w:i/>
                <w:iCs/>
                <w:color w:val="475569"/>
                <w:sz w:val="17"/>
                <w:szCs w:val="17"/>
              </w:rPr>
              <w:t xml:space="preserve">Churn / Efficiency</w:t>
            </w:r>
          </w:p>
        </w:tc>
        <w:tc>
          <w:tcPr>
            <w:shd w:fill="FEE2E2" w:color="FEE2E2" w:val="clear"/>
            <w:tcMar>
              <w:top w:type="dxa" w:w="60"/>
              <w:left w:type="dxa" w:w="120"/>
              <w:bottom w:type="dxa" w:w="60"/>
              <w:right w:type="dxa" w:w="120"/>
            </w:tcMar>
          </w:tcPr>
          <w:p>
            <w:pPr>
              <w:spacing w:after="60" w:before="60"/>
              <w:jc w:val="left"/>
            </w:pPr>
            <w:r>
              <w:rPr>
                <w:b/>
                <w:bCs/>
                <w:color w:val="DC2626"/>
                <w:sz w:val="17"/>
                <w:szCs w:val="17"/>
              </w:rPr>
              <w:t xml:space="preserve">9 of 10 runs wasted</w:t>
            </w:r>
            <w:r>
              <w:rPr>
                <w:b w:val="false"/>
                <w:bCs w:val="false"/>
                <w:color w:val="0F172A"/>
                <w:sz w:val="17"/>
                <w:szCs w:val="17"/>
              </w:rPr>
              <w:t xml:space="preserve">
(portfolio DAG triggered per regional event, self-skips until final region)</w:t>
            </w:r>
          </w:p>
        </w:tc>
        <w:tc>
          <w:tcPr>
            <w:shd w:fill="DCFCE7" w:color="DCFCE7" w:val="clear"/>
            <w:tcMar>
              <w:top w:type="dxa" w:w="60"/>
              <w:left w:type="dxa" w:w="120"/>
              <w:bottom w:type="dxa" w:w="60"/>
              <w:right w:type="dxa" w:w="120"/>
            </w:tcMar>
          </w:tcPr>
          <w:p>
            <w:pPr>
              <w:spacing w:after="60" w:before="60"/>
              <w:jc w:val="left"/>
            </w:pPr>
            <w:r>
              <w:rPr>
                <w:b/>
                <w:bCs/>
                <w:color w:val="16A34A"/>
                <w:sz w:val="17"/>
                <w:szCs w:val="17"/>
              </w:rPr>
              <w:t xml:space="preserve">0 wasted runs</w:t>
            </w:r>
            <w:r>
              <w:rPr>
                <w:b w:val="false"/>
                <w:bCs w:val="false"/>
                <w:color w:val="0F172A"/>
                <w:sz w:val="17"/>
                <w:szCs w:val="17"/>
              </w:rPr>
              <w:t xml:space="preserve">
(portfolio DAG triggered only when reconciled query confirms all regions complete)</w:t>
            </w:r>
          </w:p>
        </w:tc>
        <w:tc>
          <w:tcPr>
            <w:shd w:fill="DCFCE7" w:color="DCFCE7" w:val="clear"/>
            <w:tcMar>
              <w:top w:type="dxa" w:w="80"/>
              <w:left w:type="dxa" w:w="80"/>
              <w:bottom w:type="dxa" w:w="80"/>
              <w:right w:type="dxa" w:w="80"/>
            </w:tcMar>
            <w:vAlign w:val="center"/>
          </w:tcPr>
          <w:p>
            <w:pPr>
              <w:spacing w:after="80" w:before="80"/>
              <w:jc w:val="center"/>
            </w:pPr>
            <w:r>
              <w:rPr>
                <w:b/>
                <w:bCs/>
                <w:color w:val="16A34A"/>
                <w:sz w:val="18"/>
                <w:szCs w:val="18"/>
              </w:rPr>
              <w:t xml:space="preserve">~90%
reduction</w:t>
            </w:r>
          </w:p>
        </w:tc>
      </w:tr>
      <w:tr>
        <w:tc>
          <w:tcPr>
            <w:shd w:fill="F1F5F9" w:color="F1F5F9" w:val="clear"/>
            <w:tcMar>
              <w:top w:type="dxa" w:w="60"/>
              <w:left w:type="dxa" w:w="120"/>
              <w:bottom w:type="dxa" w:w="60"/>
              <w:right w:type="dxa" w:w="120"/>
            </w:tcMar>
          </w:tcPr>
          <w:p>
            <w:pPr>
              <w:spacing w:after="60" w:before="60"/>
              <w:jc w:val="left"/>
            </w:pPr>
            <w:r>
              <w:rPr>
                <w:b/>
                <w:bCs/>
                <w:color w:val="0F172A"/>
                <w:sz w:val="17"/>
                <w:szCs w:val="17"/>
              </w:rPr>
              <w:t xml:space="preserve">Airflow metadata DB
write volume (state transitions)</w:t>
            </w:r>
          </w:p>
        </w:tc>
        <w:tc>
          <w:tcPr>
            <w:shd w:fill="F1F5F9" w:color="F1F5F9" w:val="clear"/>
            <w:tcMar>
              <w:top w:type="dxa" w:w="60"/>
              <w:left w:type="dxa" w:w="120"/>
              <w:bottom w:type="dxa" w:w="60"/>
              <w:right w:type="dxa" w:w="120"/>
            </w:tcMar>
          </w:tcPr>
          <w:p>
            <w:pPr>
              <w:spacing w:after="60" w:before="60"/>
              <w:jc w:val="left"/>
            </w:pPr>
            <w:r>
              <w:rPr>
                <w:b w:val="false"/>
                <w:bCs w:val="false"/>
                <w:i/>
                <w:iCs/>
                <w:color w:val="475569"/>
                <w:sz w:val="17"/>
                <w:szCs w:val="17"/>
              </w:rPr>
              <w:t xml:space="preserve">Infrastructure
Cost</w:t>
            </w:r>
          </w:p>
        </w:tc>
        <w:tc>
          <w:tcPr>
            <w:shd w:fill="FEE2E2" w:color="FEE2E2" w:val="clear"/>
            <w:tcMar>
              <w:top w:type="dxa" w:w="60"/>
              <w:left w:type="dxa" w:w="120"/>
              <w:bottom w:type="dxa" w:w="60"/>
              <w:right w:type="dxa" w:w="120"/>
            </w:tcMar>
          </w:tcPr>
          <w:p>
            <w:pPr>
              <w:spacing w:after="60" w:before="60"/>
              <w:jc w:val="left"/>
            </w:pPr>
            <w:r>
              <w:rPr>
                <w:b/>
                <w:bCs/>
                <w:color w:val="DC2626"/>
                <w:sz w:val="17"/>
                <w:szCs w:val="17"/>
              </w:rPr>
              <w:t xml:space="preserve">~150–300 state writes
per event</w:t>
            </w:r>
            <w:r>
              <w:rPr>
                <w:b w:val="false"/>
                <w:bCs w:val="false"/>
                <w:color w:val="0F172A"/>
                <w:sz w:val="17"/>
                <w:szCs w:val="17"/>
              </w:rPr>
              <w:t xml:space="preserve">
(scheduled → queued → running → skipped for each wasted task)</w:t>
            </w:r>
          </w:p>
        </w:tc>
        <w:tc>
          <w:tcPr>
            <w:shd w:fill="DCFCE7" w:color="DCFCE7" w:val="clear"/>
            <w:tcMar>
              <w:top w:type="dxa" w:w="60"/>
              <w:left w:type="dxa" w:w="120"/>
              <w:bottom w:type="dxa" w:w="60"/>
              <w:right w:type="dxa" w:w="120"/>
            </w:tcMar>
          </w:tcPr>
          <w:p>
            <w:pPr>
              <w:spacing w:after="60" w:before="60"/>
              <w:jc w:val="left"/>
            </w:pPr>
            <w:r>
              <w:rPr>
                <w:b/>
                <w:bCs/>
                <w:color w:val="16A34A"/>
                <w:sz w:val="17"/>
                <w:szCs w:val="17"/>
              </w:rPr>
              <w:t xml:space="preserve">~3–5 state writes
per event</w:t>
            </w:r>
            <w:r>
              <w:rPr>
                <w:b w:val="false"/>
                <w:bCs w:val="false"/>
                <w:color w:val="0F172A"/>
                <w:sz w:val="17"/>
                <w:szCs w:val="17"/>
              </w:rPr>
              <w:t xml:space="preserve">
(dispatcher task + triggered calculator DAG run only)</w:t>
            </w:r>
          </w:p>
        </w:tc>
        <w:tc>
          <w:tcPr>
            <w:shd w:fill="DCFCE7" w:color="DCFCE7" w:val="clear"/>
            <w:tcMar>
              <w:top w:type="dxa" w:w="80"/>
              <w:left w:type="dxa" w:w="80"/>
              <w:bottom w:type="dxa" w:w="80"/>
              <w:right w:type="dxa" w:w="80"/>
            </w:tcMar>
            <w:vAlign w:val="center"/>
          </w:tcPr>
          <w:p>
            <w:pPr>
              <w:spacing w:after="80" w:before="80"/>
              <w:jc w:val="center"/>
            </w:pPr>
            <w:r>
              <w:rPr>
                <w:b/>
                <w:bCs/>
                <w:color w:val="16A34A"/>
                <w:sz w:val="18"/>
                <w:szCs w:val="18"/>
              </w:rPr>
              <w:t xml:space="preserve">~98%
reduction</w:t>
            </w:r>
          </w:p>
        </w:tc>
      </w:tr>
      <w:tr>
        <w:tc>
          <w:tcPr>
            <w:shd w:fill="FFFFFF" w:color="FFFFFF" w:val="clear"/>
            <w:tcMar>
              <w:top w:type="dxa" w:w="60"/>
              <w:left w:type="dxa" w:w="120"/>
              <w:bottom w:type="dxa" w:w="60"/>
              <w:right w:type="dxa" w:w="120"/>
            </w:tcMar>
          </w:tcPr>
          <w:p>
            <w:pPr>
              <w:spacing w:after="60" w:before="60"/>
              <w:jc w:val="left"/>
            </w:pPr>
            <w:r>
              <w:rPr>
                <w:b/>
                <w:bCs/>
                <w:color w:val="0F172A"/>
                <w:sz w:val="17"/>
                <w:szCs w:val="17"/>
              </w:rPr>
              <w:t xml:space="preserve">Event store query latency
(p99, sensor poll)</w:t>
            </w:r>
          </w:p>
        </w:tc>
        <w:tc>
          <w:tcPr>
            <w:shd w:fill="FFFFFF" w:color="FFFFFF" w:val="clear"/>
            <w:tcMar>
              <w:top w:type="dxa" w:w="60"/>
              <w:left w:type="dxa" w:w="120"/>
              <w:bottom w:type="dxa" w:w="60"/>
              <w:right w:type="dxa" w:w="120"/>
            </w:tcMar>
          </w:tcPr>
          <w:p>
            <w:pPr>
              <w:spacing w:after="60" w:before="60"/>
              <w:jc w:val="left"/>
            </w:pPr>
            <w:r>
              <w:rPr>
                <w:b w:val="false"/>
                <w:bCs w:val="false"/>
                <w:i/>
                <w:iCs/>
                <w:color w:val="475569"/>
                <w:sz w:val="17"/>
                <w:szCs w:val="17"/>
              </w:rPr>
              <w:t xml:space="preserve">Reliability /
SLA Risk</w:t>
            </w:r>
          </w:p>
        </w:tc>
        <w:tc>
          <w:tcPr>
            <w:shd w:fill="FEE2E2" w:color="FEE2E2" w:val="clear"/>
            <w:tcMar>
              <w:top w:type="dxa" w:w="60"/>
              <w:left w:type="dxa" w:w="120"/>
              <w:bottom w:type="dxa" w:w="60"/>
              <w:right w:type="dxa" w:w="120"/>
            </w:tcMar>
          </w:tcPr>
          <w:p>
            <w:pPr>
              <w:spacing w:after="60" w:before="60"/>
              <w:jc w:val="left"/>
            </w:pPr>
            <w:r>
              <w:rPr>
                <w:b/>
                <w:bCs/>
                <w:color w:val="DC2626"/>
                <w:sz w:val="17"/>
                <w:szCs w:val="17"/>
              </w:rPr>
              <w:t xml:space="preserve">Tens of minutes</w:t>
            </w:r>
            <w:r>
              <w:rPr>
                <w:b w:val="false"/>
                <w:bCs w:val="false"/>
                <w:color w:val="0F172A"/>
                <w:sz w:val="17"/>
                <w:szCs w:val="17"/>
              </w:rPr>
              <w:t xml:space="preserve">
(unindexed JSONB full-scan; connection pool exhaustion at 40-connection cap)</w:t>
            </w:r>
          </w:p>
        </w:tc>
        <w:tc>
          <w:tcPr>
            <w:shd w:fill="DCFCE7" w:color="DCFCE7" w:val="clear"/>
            <w:tcMar>
              <w:top w:type="dxa" w:w="60"/>
              <w:left w:type="dxa" w:w="120"/>
              <w:bottom w:type="dxa" w:w="60"/>
              <w:right w:type="dxa" w:w="120"/>
            </w:tcMar>
          </w:tcPr>
          <w:p>
            <w:pPr>
              <w:spacing w:after="60" w:before="60"/>
              <w:jc w:val="left"/>
            </w:pPr>
            <w:r>
              <w:rPr>
                <w:b/>
                <w:bCs/>
                <w:color w:val="16A34A"/>
                <w:sz w:val="17"/>
                <w:szCs w:val="17"/>
              </w:rPr>
              <w:t xml:space="preserve">&lt; 100ms p99</w:t>
            </w:r>
            <w:r>
              <w:rPr>
                <w:b w:val="false"/>
                <w:bCs w:val="false"/>
                <w:color w:val="0F172A"/>
                <w:sz w:val="17"/>
                <w:szCs w:val="17"/>
              </w:rPr>
              <w:t xml:space="preserve">
(composite index on materialized columns + partition pruning)</w:t>
            </w:r>
          </w:p>
        </w:tc>
        <w:tc>
          <w:tcPr>
            <w:shd w:fill="DCFCE7" w:color="DCFCE7" w:val="clear"/>
            <w:tcMar>
              <w:top w:type="dxa" w:w="80"/>
              <w:left w:type="dxa" w:w="80"/>
              <w:bottom w:type="dxa" w:w="80"/>
              <w:right w:type="dxa" w:w="80"/>
            </w:tcMar>
            <w:vAlign w:val="center"/>
          </w:tcPr>
          <w:p>
            <w:pPr>
              <w:spacing w:after="80" w:before="80"/>
              <w:jc w:val="center"/>
            </w:pPr>
            <w:r>
              <w:rPr>
                <w:b/>
                <w:bCs/>
                <w:color w:val="16A34A"/>
                <w:sz w:val="18"/>
                <w:szCs w:val="18"/>
              </w:rPr>
              <w:t xml:space="preserve">10–100×
faster</w:t>
            </w:r>
          </w:p>
        </w:tc>
      </w:tr>
      <w:tr>
        <w:tc>
          <w:tcPr>
            <w:shd w:fill="F1F5F9" w:color="F1F5F9" w:val="clear"/>
            <w:tcMar>
              <w:top w:type="dxa" w:w="60"/>
              <w:left w:type="dxa" w:w="120"/>
              <w:bottom w:type="dxa" w:w="60"/>
              <w:right w:type="dxa" w:w="120"/>
            </w:tcMar>
          </w:tcPr>
          <w:p>
            <w:pPr>
              <w:spacing w:after="60" w:before="60"/>
              <w:jc w:val="left"/>
            </w:pPr>
            <w:r>
              <w:rPr>
                <w:b/>
                <w:bCs/>
                <w:color w:val="0F172A"/>
                <w:sz w:val="17"/>
                <w:szCs w:val="17"/>
              </w:rPr>
              <w:t xml:space="preserve">Time-to-trigger overhead
(event ingested → DAG starts)</w:t>
            </w:r>
          </w:p>
        </w:tc>
        <w:tc>
          <w:tcPr>
            <w:shd w:fill="F1F5F9" w:color="F1F5F9" w:val="clear"/>
            <w:tcMar>
              <w:top w:type="dxa" w:w="60"/>
              <w:left w:type="dxa" w:w="120"/>
              <w:bottom w:type="dxa" w:w="60"/>
              <w:right w:type="dxa" w:w="120"/>
            </w:tcMar>
          </w:tcPr>
          <w:p>
            <w:pPr>
              <w:spacing w:after="60" w:before="60"/>
              <w:jc w:val="left"/>
            </w:pPr>
            <w:r>
              <w:rPr>
                <w:b w:val="false"/>
                <w:bCs w:val="false"/>
                <w:i/>
                <w:iCs/>
                <w:color w:val="475569"/>
                <w:sz w:val="17"/>
                <w:szCs w:val="17"/>
              </w:rPr>
              <w:t xml:space="preserve">SLA / Latency</w:t>
            </w:r>
          </w:p>
        </w:tc>
        <w:tc>
          <w:tcPr>
            <w:shd w:fill="FEE2E2" w:color="FEE2E2" w:val="clear"/>
            <w:tcMar>
              <w:top w:type="dxa" w:w="60"/>
              <w:left w:type="dxa" w:w="120"/>
              <w:bottom w:type="dxa" w:w="60"/>
              <w:right w:type="dxa" w:w="120"/>
            </w:tcMar>
          </w:tcPr>
          <w:p>
            <w:pPr>
              <w:spacing w:after="60" w:before="60"/>
              <w:jc w:val="left"/>
            </w:pPr>
            <w:r>
              <w:rPr>
                <w:b/>
                <w:bCs/>
                <w:color w:val="DC2626"/>
                <w:sz w:val="17"/>
                <w:szCs w:val="17"/>
              </w:rPr>
              <w:t xml:space="preserve">Highly variable</w:t>
            </w:r>
            <w:r>
              <w:rPr>
                <w:b w:val="false"/>
                <w:bCs w:val="false"/>
                <w:color w:val="0F172A"/>
                <w:sz w:val="17"/>
                <w:szCs w:val="17"/>
              </w:rPr>
              <w:t xml:space="preserve">
(scheduler queue depth grows with churn; p99 degraded under load)</w:t>
            </w:r>
          </w:p>
        </w:tc>
        <w:tc>
          <w:tcPr>
            <w:shd w:fill="DCFCE7" w:color="DCFCE7" w:val="clear"/>
            <w:tcMar>
              <w:top w:type="dxa" w:w="60"/>
              <w:left w:type="dxa" w:w="120"/>
              <w:bottom w:type="dxa" w:w="60"/>
              <w:right w:type="dxa" w:w="120"/>
            </w:tcMar>
          </w:tcPr>
          <w:p>
            <w:pPr>
              <w:spacing w:after="60" w:before="60"/>
              <w:jc w:val="left"/>
            </w:pPr>
            <w:r>
              <w:rPr>
                <w:b/>
                <w:bCs/>
                <w:color w:val="16A34A"/>
                <w:sz w:val="17"/>
                <w:szCs w:val="17"/>
              </w:rPr>
              <w:t xml:space="preserve">&lt; 30s p99
(target)</w:t>
            </w:r>
            <w:r>
              <w:rPr>
                <w:b w:val="false"/>
                <w:bCs w:val="false"/>
                <w:color w:val="0F172A"/>
                <w:sz w:val="17"/>
                <w:szCs w:val="17"/>
              </w:rPr>
              <w:t xml:space="preserve">
(CEL evaluation: microseconds; dispatcher overhead: seconds; no queue competition with skipped tasks)</w:t>
            </w:r>
          </w:p>
        </w:tc>
        <w:tc>
          <w:tcPr>
            <w:shd w:fill="DCFCE7" w:color="DCFCE7" w:val="clear"/>
            <w:tcMar>
              <w:top w:type="dxa" w:w="80"/>
              <w:left w:type="dxa" w:w="80"/>
              <w:bottom w:type="dxa" w:w="80"/>
              <w:right w:type="dxa" w:w="80"/>
            </w:tcMar>
            <w:vAlign w:val="center"/>
          </w:tcPr>
          <w:p>
            <w:pPr>
              <w:spacing w:after="80" w:before="80"/>
              <w:jc w:val="center"/>
            </w:pPr>
            <w:r>
              <w:rPr>
                <w:b/>
                <w:bCs/>
                <w:color w:val="16A34A"/>
                <w:sz w:val="18"/>
                <w:szCs w:val="18"/>
              </w:rPr>
              <w:t xml:space="preserve">Order-of-
magnitude</w:t>
            </w:r>
          </w:p>
        </w:tc>
      </w:tr>
      <w:tr>
        <w:tc>
          <w:tcPr>
            <w:shd w:fill="FFFFFF" w:color="FFFFFF" w:val="clear"/>
            <w:tcMar>
              <w:top w:type="dxa" w:w="60"/>
              <w:left w:type="dxa" w:w="120"/>
              <w:bottom w:type="dxa" w:w="60"/>
              <w:right w:type="dxa" w:w="120"/>
            </w:tcMar>
          </w:tcPr>
          <w:p>
            <w:pPr>
              <w:spacing w:after="60" w:before="60"/>
              <w:jc w:val="left"/>
            </w:pPr>
            <w:r>
              <w:rPr>
                <w:b/>
                <w:bCs/>
                <w:color w:val="0F172A"/>
                <w:sz w:val="17"/>
                <w:szCs w:val="17"/>
              </w:rPr>
              <w:t xml:space="preserve">Configuration change
deployment cycle</w:t>
            </w:r>
          </w:p>
        </w:tc>
        <w:tc>
          <w:tcPr>
            <w:shd w:fill="FFFFFF" w:color="FFFFFF" w:val="clear"/>
            <w:tcMar>
              <w:top w:type="dxa" w:w="60"/>
              <w:left w:type="dxa" w:w="120"/>
              <w:bottom w:type="dxa" w:w="60"/>
              <w:right w:type="dxa" w:w="120"/>
            </w:tcMar>
          </w:tcPr>
          <w:p>
            <w:pPr>
              <w:spacing w:after="60" w:before="60"/>
              <w:jc w:val="left"/>
            </w:pPr>
            <w:r>
              <w:rPr>
                <w:b w:val="false"/>
                <w:bCs w:val="false"/>
                <w:i/>
                <w:iCs/>
                <w:color w:val="475569"/>
                <w:sz w:val="17"/>
                <w:szCs w:val="17"/>
              </w:rPr>
              <w:t xml:space="preserve">Maintainability</w:t>
            </w:r>
          </w:p>
        </w:tc>
        <w:tc>
          <w:tcPr>
            <w:shd w:fill="FEF3C7" w:color="FEF3C7" w:val="clear"/>
            <w:tcMar>
              <w:top w:type="dxa" w:w="60"/>
              <w:left w:type="dxa" w:w="120"/>
              <w:bottom w:type="dxa" w:w="60"/>
              <w:right w:type="dxa" w:w="120"/>
            </w:tcMar>
          </w:tcPr>
          <w:p>
            <w:pPr>
              <w:spacing w:after="60" w:before="60"/>
              <w:jc w:val="left"/>
            </w:pPr>
            <w:r>
              <w:rPr>
                <w:b/>
                <w:bCs/>
                <w:color w:val="D97706"/>
                <w:sz w:val="17"/>
                <w:szCs w:val="17"/>
              </w:rPr>
              <w:t xml:space="preserve">Multi-system coordinated deploy</w:t>
            </w:r>
            <w:r>
              <w:rPr>
                <w:b w:val="false"/>
                <w:bCs w:val="false"/>
                <w:color w:val="0F172A"/>
                <w:sz w:val="17"/>
                <w:szCs w:val="17"/>
              </w:rPr>
              <w:t xml:space="preserve">
(Scala post_filter_control_dag_map change + Python dag_trigger_criteria_map.json change → two codebases, two CI pipelines, coordinated release window)</w:t>
            </w:r>
          </w:p>
        </w:tc>
        <w:tc>
          <w:tcPr>
            <w:shd w:fill="DCFCE7" w:color="DCFCE7" w:val="clear"/>
            <w:tcMar>
              <w:top w:type="dxa" w:w="60"/>
              <w:left w:type="dxa" w:w="120"/>
              <w:bottom w:type="dxa" w:w="60"/>
              <w:right w:type="dxa" w:w="120"/>
            </w:tcMar>
          </w:tcPr>
          <w:p>
            <w:pPr>
              <w:spacing w:after="60" w:before="60"/>
              <w:jc w:val="left"/>
            </w:pPr>
            <w:r>
              <w:rPr>
                <w:b/>
                <w:bCs/>
                <w:color w:val="16A34A"/>
                <w:sz w:val="17"/>
                <w:szCs w:val="17"/>
              </w:rPr>
              <w:t xml:space="preserve">Single versioned registry push</w:t>
            </w:r>
            <w:r>
              <w:rPr>
                <w:b w:val="false"/>
                <w:bCs w:val="false"/>
                <w:color w:val="0F172A"/>
                <w:sz w:val="17"/>
                <w:szCs w:val="17"/>
              </w:rPr>
              <w:t xml:space="preserve">
(CEL YAML update → CI validates syntax → registry reload; no Airflow DAG redeploy required for routing-only changes)</w:t>
            </w:r>
          </w:p>
        </w:tc>
        <w:tc>
          <w:tcPr>
            <w:shd w:fill="DCFCE7" w:color="DCFCE7" w:val="clear"/>
            <w:tcMar>
              <w:top w:type="dxa" w:w="80"/>
              <w:left w:type="dxa" w:w="80"/>
              <w:bottom w:type="dxa" w:w="80"/>
              <w:right w:type="dxa" w:w="80"/>
            </w:tcMar>
            <w:vAlign w:val="center"/>
          </w:tcPr>
          <w:p>
            <w:pPr>
              <w:spacing w:after="80" w:before="80"/>
              <w:jc w:val="center"/>
            </w:pPr>
            <w:r>
              <w:rPr>
                <w:b/>
                <w:bCs/>
                <w:color w:val="16A34A"/>
                <w:sz w:val="18"/>
                <w:szCs w:val="18"/>
              </w:rPr>
              <w:t xml:space="preserve">2 systems
→ 1 file</w:t>
            </w:r>
          </w:p>
        </w:tc>
      </w:tr>
      <w:tr>
        <w:tc>
          <w:tcPr>
            <w:shd w:fill="F1F5F9" w:color="F1F5F9" w:val="clear"/>
            <w:tcMar>
              <w:top w:type="dxa" w:w="60"/>
              <w:left w:type="dxa" w:w="120"/>
              <w:bottom w:type="dxa" w:w="60"/>
              <w:right w:type="dxa" w:w="120"/>
            </w:tcMar>
          </w:tcPr>
          <w:p>
            <w:pPr>
              <w:spacing w:after="60" w:before="60"/>
              <w:jc w:val="left"/>
            </w:pPr>
            <w:r>
              <w:rPr>
                <w:b/>
                <w:bCs/>
                <w:color w:val="0F172A"/>
                <w:sz w:val="17"/>
                <w:szCs w:val="17"/>
              </w:rPr>
              <w:t xml:space="preserve">Routing failure
observability</w:t>
            </w:r>
          </w:p>
        </w:tc>
        <w:tc>
          <w:tcPr>
            <w:shd w:fill="F1F5F9" w:color="F1F5F9" w:val="clear"/>
            <w:tcMar>
              <w:top w:type="dxa" w:w="60"/>
              <w:left w:type="dxa" w:w="120"/>
              <w:bottom w:type="dxa" w:w="60"/>
              <w:right w:type="dxa" w:w="120"/>
            </w:tcMar>
          </w:tcPr>
          <w:p>
            <w:pPr>
              <w:spacing w:after="60" w:before="60"/>
              <w:jc w:val="left"/>
            </w:pPr>
            <w:r>
              <w:rPr>
                <w:b w:val="false"/>
                <w:bCs w:val="false"/>
                <w:i/>
                <w:iCs/>
                <w:color w:val="475569"/>
                <w:sz w:val="17"/>
                <w:szCs w:val="17"/>
              </w:rPr>
              <w:t xml:space="preserve">Auditability</w:t>
            </w:r>
          </w:p>
        </w:tc>
        <w:tc>
          <w:tcPr>
            <w:shd w:fill="FEE2E2" w:color="FEE2E2" w:val="clear"/>
            <w:tcMar>
              <w:top w:type="dxa" w:w="60"/>
              <w:left w:type="dxa" w:w="120"/>
              <w:bottom w:type="dxa" w:w="60"/>
              <w:right w:type="dxa" w:w="120"/>
            </w:tcMar>
          </w:tcPr>
          <w:p>
            <w:pPr>
              <w:spacing w:after="60" w:before="60"/>
              <w:jc w:val="left"/>
            </w:pPr>
            <w:r>
              <w:rPr>
                <w:b/>
                <w:bCs/>
                <w:color w:val="DC2626"/>
                <w:sz w:val="17"/>
                <w:szCs w:val="17"/>
              </w:rPr>
              <w:t xml:space="preserve">Opaque</w:t>
            </w:r>
            <w:r>
              <w:rPr>
                <w:b w:val="false"/>
                <w:bCs w:val="false"/>
                <w:color w:val="0F172A"/>
                <w:sz w:val="17"/>
                <w:szCs w:val="17"/>
              </w:rPr>
              <w:t xml:space="preserve">
(no structured log of routing decisions; failures manifest as "calculator did not run" with no automated root cause)</w:t>
            </w:r>
          </w:p>
        </w:tc>
        <w:tc>
          <w:tcPr>
            <w:shd w:fill="DCFCE7" w:color="DCFCE7" w:val="clear"/>
            <w:tcMar>
              <w:top w:type="dxa" w:w="60"/>
              <w:left w:type="dxa" w:w="120"/>
              <w:bottom w:type="dxa" w:w="60"/>
              <w:right w:type="dxa" w:w="120"/>
            </w:tcMar>
          </w:tcPr>
          <w:p>
            <w:pPr>
              <w:spacing w:after="60" w:before="60"/>
              <w:jc w:val="left"/>
            </w:pPr>
            <w:r>
              <w:rPr>
                <w:b/>
                <w:bCs/>
                <w:color w:val="16A34A"/>
                <w:sz w:val="17"/>
                <w:szCs w:val="17"/>
              </w:rPr>
              <w:t xml:space="preserve">Fully auditable</w:t>
            </w:r>
            <w:r>
              <w:rPr>
                <w:b w:val="false"/>
                <w:bCs w:val="false"/>
                <w:color w:val="0F172A"/>
                <w:sz w:val="17"/>
                <w:szCs w:val="17"/>
              </w:rPr>
              <w:t xml:space="preserve">
(routing_audit_log records every rule evaluation per event; query "why was DAG X not triggered for event Y?" is a 1-second DB lookup)</w:t>
            </w:r>
          </w:p>
        </w:tc>
        <w:tc>
          <w:tcPr>
            <w:shd w:fill="DCFCE7" w:color="DCFCE7" w:val="clear"/>
            <w:tcMar>
              <w:top w:type="dxa" w:w="80"/>
              <w:left w:type="dxa" w:w="80"/>
              <w:bottom w:type="dxa" w:w="80"/>
              <w:right w:type="dxa" w:w="80"/>
            </w:tcMar>
            <w:vAlign w:val="center"/>
          </w:tcPr>
          <w:p>
            <w:pPr>
              <w:spacing w:after="80" w:before="80"/>
              <w:jc w:val="center"/>
            </w:pPr>
            <w:r>
              <w:rPr>
                <w:b/>
                <w:bCs/>
                <w:color w:val="16A34A"/>
                <w:sz w:val="18"/>
                <w:szCs w:val="18"/>
              </w:rPr>
              <w:t xml:space="preserve">None
→ Full</w:t>
            </w:r>
          </w:p>
        </w:tc>
      </w:tr>
      <w:tr>
        <w:tc>
          <w:tcPr>
            <w:shd w:fill="FFFFFF" w:color="FFFFFF" w:val="clear"/>
            <w:tcMar>
              <w:top w:type="dxa" w:w="60"/>
              <w:left w:type="dxa" w:w="120"/>
              <w:bottom w:type="dxa" w:w="60"/>
              <w:right w:type="dxa" w:w="120"/>
            </w:tcMar>
          </w:tcPr>
          <w:p>
            <w:pPr>
              <w:spacing w:after="60" w:before="60"/>
              <w:jc w:val="left"/>
            </w:pPr>
            <w:r>
              <w:rPr>
                <w:b/>
                <w:bCs/>
                <w:color w:val="0F172A"/>
                <w:sz w:val="17"/>
                <w:szCs w:val="17"/>
              </w:rPr>
              <w:t xml:space="preserve">Fan-in correctness
(portfolio readiness)</w:t>
            </w:r>
          </w:p>
        </w:tc>
        <w:tc>
          <w:tcPr>
            <w:shd w:fill="FFFFFF" w:color="FFFFFF" w:val="clear"/>
            <w:tcMar>
              <w:top w:type="dxa" w:w="60"/>
              <w:left w:type="dxa" w:w="120"/>
              <w:bottom w:type="dxa" w:w="60"/>
              <w:right w:type="dxa" w:w="120"/>
            </w:tcMar>
          </w:tcPr>
          <w:p>
            <w:pPr>
              <w:spacing w:after="60" w:before="60"/>
              <w:jc w:val="left"/>
            </w:pPr>
            <w:r>
              <w:rPr>
                <w:b w:val="false"/>
                <w:bCs w:val="false"/>
                <w:i/>
                <w:iCs/>
                <w:color w:val="475569"/>
                <w:sz w:val="17"/>
                <w:szCs w:val="17"/>
              </w:rPr>
              <w:t xml:space="preserve">Reliability /
Correctness</w:t>
            </w:r>
          </w:p>
        </w:tc>
        <w:tc>
          <w:tcPr>
            <w:shd w:fill="FEE2E2" w:color="FEE2E2" w:val="clear"/>
            <w:tcMar>
              <w:top w:type="dxa" w:w="60"/>
              <w:left w:type="dxa" w:w="120"/>
              <w:bottom w:type="dxa" w:w="60"/>
              <w:right w:type="dxa" w:w="120"/>
            </w:tcMar>
          </w:tcPr>
          <w:p>
            <w:pPr>
              <w:spacing w:after="60" w:before="60"/>
              <w:jc w:val="left"/>
            </w:pPr>
            <w:r>
              <w:rPr>
                <w:b/>
                <w:bCs/>
                <w:color w:val="DC2626"/>
                <w:sz w:val="17"/>
                <w:szCs w:val="17"/>
              </w:rPr>
              <w:t xml:space="preserve">Event-accumulator fragile</w:t>
            </w:r>
            <w:r>
              <w:rPr>
                <w:b w:val="false"/>
                <w:bCs w:val="false"/>
                <w:color w:val="0F172A"/>
                <w:sz w:val="17"/>
                <w:szCs w:val="17"/>
              </w:rPr>
              <w:t xml:space="preserve">
(mutable Airflow Variable; single lost Kafka event permanently corrupts state for that business date; no automated recovery)</w:t>
            </w:r>
          </w:p>
        </w:tc>
        <w:tc>
          <w:tcPr>
            <w:shd w:fill="DCFCE7" w:color="DCFCE7" w:val="clear"/>
            <w:tcMar>
              <w:top w:type="dxa" w:w="60"/>
              <w:left w:type="dxa" w:w="120"/>
              <w:bottom w:type="dxa" w:w="60"/>
              <w:right w:type="dxa" w:w="120"/>
            </w:tcMar>
          </w:tcPr>
          <w:p>
            <w:pPr>
              <w:spacing w:after="60" w:before="60"/>
              <w:jc w:val="left"/>
            </w:pPr>
            <w:r>
              <w:rPr>
                <w:b/>
                <w:bCs/>
                <w:color w:val="16A34A"/>
                <w:sz w:val="17"/>
                <w:szCs w:val="17"/>
              </w:rPr>
              <w:t xml:space="preserve">Reconciled query durable</w:t>
            </w:r>
            <w:r>
              <w:rPr>
                <w:b w:val="false"/>
                <w:bCs w:val="false"/>
                <w:color w:val="0F172A"/>
                <w:sz w:val="17"/>
                <w:szCs w:val="17"/>
              </w:rPr>
              <w:t xml:space="preserve">
(reads authoritative event store; immune to redelivery/rebalance; heartbeat re-evaluates open dates automatically)</w:t>
            </w:r>
          </w:p>
        </w:tc>
        <w:tc>
          <w:tcPr>
            <w:shd w:fill="DCFCE7" w:color="DCFCE7" w:val="clear"/>
            <w:tcMar>
              <w:top w:type="dxa" w:w="80"/>
              <w:left w:type="dxa" w:w="80"/>
              <w:bottom w:type="dxa" w:w="80"/>
              <w:right w:type="dxa" w:w="80"/>
            </w:tcMar>
            <w:vAlign w:val="center"/>
          </w:tcPr>
          <w:p>
            <w:pPr>
              <w:spacing w:after="80" w:before="80"/>
              <w:jc w:val="center"/>
            </w:pPr>
            <w:r>
              <w:rPr>
                <w:b/>
                <w:bCs/>
                <w:color w:val="16A34A"/>
                <w:sz w:val="18"/>
                <w:szCs w:val="18"/>
              </w:rPr>
              <w:t xml:space="preserve">Fragile
→ Durable</w:t>
            </w:r>
          </w:p>
        </w:tc>
      </w:tr>
      <w:tr>
        <w:tc>
          <w:tcPr>
            <w:shd w:fill="F1F5F9" w:color="F1F5F9" w:val="clear"/>
            <w:tcMar>
              <w:top w:type="dxa" w:w="60"/>
              <w:left w:type="dxa" w:w="120"/>
              <w:bottom w:type="dxa" w:w="60"/>
              <w:right w:type="dxa" w:w="120"/>
            </w:tcMar>
          </w:tcPr>
          <w:p>
            <w:pPr>
              <w:spacing w:after="60" w:before="60"/>
              <w:jc w:val="left"/>
            </w:pPr>
            <w:r>
              <w:rPr>
                <w:b/>
                <w:bCs/>
                <w:color w:val="0F172A"/>
                <w:sz w:val="17"/>
                <w:szCs w:val="17"/>
              </w:rPr>
              <w:t xml:space="preserve">Sources of routing truth</w:t>
            </w:r>
          </w:p>
        </w:tc>
        <w:tc>
          <w:tcPr>
            <w:shd w:fill="F1F5F9" w:color="F1F5F9" w:val="clear"/>
            <w:tcMar>
              <w:top w:type="dxa" w:w="60"/>
              <w:left w:type="dxa" w:w="120"/>
              <w:bottom w:type="dxa" w:w="60"/>
              <w:right w:type="dxa" w:w="120"/>
            </w:tcMar>
          </w:tcPr>
          <w:p>
            <w:pPr>
              <w:spacing w:after="60" w:before="60"/>
              <w:jc w:val="left"/>
            </w:pPr>
            <w:r>
              <w:rPr>
                <w:b w:val="false"/>
                <w:bCs w:val="false"/>
                <w:i/>
                <w:iCs/>
                <w:color w:val="475569"/>
                <w:sz w:val="17"/>
                <w:szCs w:val="17"/>
              </w:rPr>
              <w:t xml:space="preserve">Maintainability</w:t>
            </w:r>
          </w:p>
        </w:tc>
        <w:tc>
          <w:tcPr>
            <w:shd w:fill="FEF3C7" w:color="FEF3C7" w:val="clear"/>
            <w:tcMar>
              <w:top w:type="dxa" w:w="60"/>
              <w:left w:type="dxa" w:w="120"/>
              <w:bottom w:type="dxa" w:w="60"/>
              <w:right w:type="dxa" w:w="120"/>
            </w:tcMar>
          </w:tcPr>
          <w:p>
            <w:pPr>
              <w:spacing w:after="60" w:before="60"/>
              <w:jc w:val="left"/>
            </w:pPr>
            <w:r>
              <w:rPr>
                <w:b/>
                <w:bCs/>
                <w:color w:val="D97706"/>
                <w:sz w:val="17"/>
                <w:szCs w:val="17"/>
              </w:rPr>
              <w:t xml:space="preserve">2 authoritative sources</w:t>
            </w:r>
            <w:r>
              <w:rPr>
                <w:b w:val="false"/>
                <w:bCs w:val="false"/>
                <w:color w:val="0F172A"/>
                <w:sz w:val="17"/>
                <w:szCs w:val="17"/>
              </w:rPr>
              <w:t xml:space="preserve">
(Scala DB table + Python JSON file; must be kept in sync manually)</w:t>
            </w:r>
          </w:p>
        </w:tc>
        <w:tc>
          <w:tcPr>
            <w:shd w:fill="DCFCE7" w:color="DCFCE7" w:val="clear"/>
            <w:tcMar>
              <w:top w:type="dxa" w:w="60"/>
              <w:left w:type="dxa" w:w="120"/>
              <w:bottom w:type="dxa" w:w="60"/>
              <w:right w:type="dxa" w:w="120"/>
            </w:tcMar>
          </w:tcPr>
          <w:p>
            <w:pPr>
              <w:spacing w:after="60" w:before="60"/>
              <w:jc w:val="left"/>
            </w:pPr>
            <w:r>
              <w:rPr>
                <w:b/>
                <w:bCs/>
                <w:color w:val="16A34A"/>
                <w:sz w:val="17"/>
                <w:szCs w:val="17"/>
              </w:rPr>
              <w:t xml:space="preserve">1 authoritative source</w:t>
            </w:r>
            <w:r>
              <w:rPr>
                <w:b w:val="false"/>
                <w:bCs w:val="false"/>
                <w:color w:val="0F172A"/>
                <w:sz w:val="17"/>
                <w:szCs w:val="17"/>
              </w:rPr>
              <w:t xml:space="preserve">
(versioned CEL registry; single source of truth for all routing decisions across L0 → L1)</w:t>
            </w:r>
          </w:p>
        </w:tc>
        <w:tc>
          <w:tcPr>
            <w:shd w:fill="DCFCE7" w:color="DCFCE7" w:val="clear"/>
            <w:tcMar>
              <w:top w:type="dxa" w:w="80"/>
              <w:left w:type="dxa" w:w="80"/>
              <w:bottom w:type="dxa" w:w="80"/>
              <w:right w:type="dxa" w:w="80"/>
            </w:tcMar>
            <w:vAlign w:val="center"/>
          </w:tcPr>
          <w:p>
            <w:pPr>
              <w:spacing w:after="80" w:before="80"/>
              <w:jc w:val="center"/>
            </w:pPr>
            <w:r>
              <w:rPr>
                <w:b/>
                <w:bCs/>
                <w:color w:val="16A34A"/>
                <w:sz w:val="18"/>
                <w:szCs w:val="18"/>
              </w:rPr>
              <w:t xml:space="preserve">2 → 1</w:t>
            </w:r>
          </w:p>
        </w:tc>
      </w:tr>
    </w:tbl>
    <w:p>
      <w:pPr>
        <w:spacing w:after="60" w:before="60"/>
      </w:pPr>
    </w:p>
    <w:p>
      <w:pPr>
        <w:pStyle w:val="Heading2"/>
        <w:spacing w:after="160" w:before="320"/>
        <w:rPr>
          <w:color w:val="1B2A4A"/>
          <w:sz w:val="28"/>
          <w:szCs w:val="28"/>
        </w:rPr>
      </w:pPr>
      <w:r>
        <w:t xml:space="preserve">4.2 KPI Measurement Plan</w:t>
      </w:r>
    </w:p>
    <w:p>
      <w:pPr>
        <w:spacing w:after="140" w:before="100"/>
        <w:jc w:val="both"/>
      </w:pPr>
      <w:r>
        <w:rPr>
          <w:b w:val="false"/>
          <w:bCs w:val="false"/>
          <w:color w:val="0F172A"/>
          <w:sz w:val="20"/>
          <w:szCs w:val="20"/>
        </w:rPr>
        <w:t xml:space="preserve">Each KPI above is tied to a concrete measurement method to ensure accountability:</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3200"/>
        <w:gridCol w:w="3500"/>
      </w:tblGrid>
      <w:tr>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KPI</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Measurement Source</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Cadence &amp; Owner</w:t>
            </w:r>
          </w:p>
        </w:tc>
      </w:tr>
      <w:tr>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Task instances per event</w:t>
            </w:r>
          </w:p>
        </w:tc>
        <w:tc>
          <w:tcPr>
            <w:shd w:fill="F1F5F9" w:color="F1F5F9" w:val="clear"/>
            <w:tcMar>
              <w:top w:type="dxa" w:w="60"/>
              <w:left w:type="dxa" w:w="120"/>
              <w:bottom w:type="dxa" w:w="60"/>
              <w:right w:type="dxa" w:w="120"/>
            </w:tcMar>
          </w:tcPr>
          <w:p>
            <w:pPr>
              <w:spacing w:after="60" w:before="60"/>
              <w:jc w:val="left"/>
            </w:pPr>
            <w:r>
              <w:rPr>
                <w:rFonts w:ascii="Courier New" w:cs="Courier New" w:eastAsia="Courier New" w:hAnsi="Courier New"/>
                <w:color w:val="7C3AED"/>
                <w:sz w:val="18"/>
                <w:szCs w:val="18"/>
              </w:rPr>
              <w:t xml:space="preserve">SELECT COUNT(*) FROM task_instance WHERE dag_run_id = ?</w:t>
            </w:r>
            <w:r>
              <w:rPr>
                <w:b w:val="false"/>
                <w:bCs w:val="false"/>
                <w:color w:val="0F172A"/>
                <w:sz w:val="17"/>
                <w:szCs w:val="17"/>
              </w:rPr>
              <w:t xml:space="preserve"> — Airflow metadata DB</w:t>
            </w:r>
          </w:p>
        </w:tc>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Sampled daily. Baseline: Month 3. Measured: Month 5+. Owner: Infrastructure.</w:t>
            </w:r>
          </w:p>
        </w:tc>
      </w:tr>
      <w:tr>
        <w:tc>
          <w:tcPr>
            <w:shd w:fill="FFFFFF" w:color="FFFFFF" w:val="clear"/>
            <w:tcMar>
              <w:top w:type="dxa" w:w="60"/>
              <w:left w:type="dxa" w:w="120"/>
              <w:bottom w:type="dxa" w:w="60"/>
              <w:right w:type="dxa" w:w="120"/>
            </w:tcMar>
          </w:tcPr>
          <w:p>
            <w:pPr>
              <w:spacing w:after="60" w:before="60"/>
              <w:jc w:val="left"/>
            </w:pPr>
            <w:r>
              <w:rPr>
                <w:b w:val="false"/>
                <w:bCs w:val="false"/>
                <w:color w:val="0F172A"/>
                <w:sz w:val="18"/>
                <w:szCs w:val="18"/>
              </w:rPr>
              <w:t xml:space="preserve">Portfolio wasted DAG runs</w:t>
            </w:r>
          </w:p>
        </w:tc>
        <w:tc>
          <w:tcPr>
            <w:shd w:fill="FFFFFF" w:color="FFFFFF" w:val="clear"/>
            <w:tcMar>
              <w:top w:type="dxa" w:w="60"/>
              <w:left w:type="dxa" w:w="120"/>
              <w:bottom w:type="dxa" w:w="60"/>
              <w:right w:type="dxa" w:w="120"/>
            </w:tcMar>
          </w:tcPr>
          <w:p>
            <w:pPr>
              <w:spacing w:after="60" w:before="60"/>
              <w:jc w:val="left"/>
            </w:pPr>
            <w:r>
              <w:rPr>
                <w:b w:val="false"/>
                <w:bCs w:val="false"/>
                <w:color w:val="0F172A"/>
                <w:sz w:val="17"/>
                <w:szCs w:val="17"/>
              </w:rPr>
              <w:t xml:space="preserve">Airflow DAG run state filter: </w:t>
            </w:r>
            <w:r>
              <w:rPr>
                <w:rFonts w:ascii="Courier New" w:cs="Courier New" w:eastAsia="Courier New" w:hAnsi="Courier New"/>
                <w:color w:val="7C3AED"/>
                <w:sz w:val="18"/>
                <w:szCs w:val="18"/>
              </w:rPr>
              <w:t xml:space="preserve">state=skipped</w:t>
            </w:r>
            <w:r>
              <w:rPr>
                <w:b w:val="false"/>
                <w:bCs w:val="false"/>
                <w:color w:val="0F172A"/>
                <w:sz w:val="17"/>
                <w:szCs w:val="17"/>
              </w:rPr>
              <w:t xml:space="preserve">, dag_id LIKE 'portfolio%'</w:t>
            </w:r>
          </w:p>
        </w:tc>
        <w:tc>
          <w:tcPr>
            <w:shd w:fill="FFFFFF" w:color="FFFFFF" w:val="clear"/>
            <w:tcMar>
              <w:top w:type="dxa" w:w="60"/>
              <w:left w:type="dxa" w:w="120"/>
              <w:bottom w:type="dxa" w:w="60"/>
              <w:right w:type="dxa" w:w="120"/>
            </w:tcMar>
          </w:tcPr>
          <w:p>
            <w:pPr>
              <w:spacing w:after="60" w:before="60"/>
              <w:jc w:val="left"/>
            </w:pPr>
            <w:r>
              <w:rPr>
                <w:b w:val="false"/>
                <w:bCs w:val="false"/>
                <w:color w:val="0F172A"/>
                <w:sz w:val="18"/>
                <w:szCs w:val="18"/>
              </w:rPr>
              <w:t xml:space="preserve">Weekly report. Owner: Orchestration team.</w:t>
            </w:r>
          </w:p>
        </w:tc>
      </w:tr>
      <w:tr>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Event store query latency (p99)</w:t>
            </w:r>
          </w:p>
        </w:tc>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Prometheus histogram from Spring Boot Actuator micrometer; EXPLAIN ANALYZE on representative queries.</w:t>
            </w:r>
          </w:p>
        </w:tc>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Continuous monitoring. Alert on p99 &gt; 100ms. Owner: event-orchestration team.</w:t>
            </w:r>
          </w:p>
        </w:tc>
      </w:tr>
      <w:tr>
        <w:tc>
          <w:tcPr>
            <w:shd w:fill="FFFFFF" w:color="FFFFFF" w:val="clear"/>
            <w:tcMar>
              <w:top w:type="dxa" w:w="60"/>
              <w:left w:type="dxa" w:w="120"/>
              <w:bottom w:type="dxa" w:w="60"/>
              <w:right w:type="dxa" w:w="120"/>
            </w:tcMar>
          </w:tcPr>
          <w:p>
            <w:pPr>
              <w:spacing w:after="60" w:before="60"/>
              <w:jc w:val="left"/>
            </w:pPr>
            <w:r>
              <w:rPr>
                <w:b w:val="false"/>
                <w:bCs w:val="false"/>
                <w:color w:val="0F172A"/>
                <w:sz w:val="18"/>
                <w:szCs w:val="18"/>
              </w:rPr>
              <w:t xml:space="preserve">Time-to-trigger overhead</w:t>
            </w:r>
          </w:p>
        </w:tc>
        <w:tc>
          <w:tcPr>
            <w:shd w:fill="FFFFFF" w:color="FFFFFF" w:val="clear"/>
            <w:tcMar>
              <w:top w:type="dxa" w:w="60"/>
              <w:left w:type="dxa" w:w="120"/>
              <w:bottom w:type="dxa" w:w="60"/>
              <w:right w:type="dxa" w:w="120"/>
            </w:tcMar>
          </w:tcPr>
          <w:p>
            <w:pPr>
              <w:spacing w:after="60" w:before="60"/>
              <w:jc w:val="left"/>
            </w:pPr>
            <w:r>
              <w:rPr>
                <w:b w:val="false"/>
                <w:bCs w:val="false"/>
                <w:color w:val="0F172A"/>
                <w:sz w:val="17"/>
                <w:szCs w:val="17"/>
              </w:rPr>
              <w:t xml:space="preserve">Prometheus counter emitted from </w:t>
            </w:r>
            <w:r>
              <w:rPr>
                <w:rFonts w:ascii="Courier New" w:cs="Courier New" w:eastAsia="Courier New" w:hAnsi="Courier New"/>
                <w:color w:val="7C3AED"/>
                <w:sz w:val="18"/>
                <w:szCs w:val="18"/>
              </w:rPr>
              <w:t xml:space="preserve">evaluate_and_dispatch</w:t>
            </w:r>
            <w:r>
              <w:rPr>
                <w:b w:val="false"/>
                <w:bCs w:val="false"/>
                <w:color w:val="0F172A"/>
                <w:sz w:val="17"/>
                <w:szCs w:val="17"/>
              </w:rPr>
              <w:t xml:space="preserve"> at task start/end.</w:t>
            </w:r>
          </w:p>
        </w:tc>
        <w:tc>
          <w:tcPr>
            <w:shd w:fill="FFFFFF" w:color="FFFFFF" w:val="clear"/>
            <w:tcMar>
              <w:top w:type="dxa" w:w="60"/>
              <w:left w:type="dxa" w:w="120"/>
              <w:bottom w:type="dxa" w:w="60"/>
              <w:right w:type="dxa" w:w="120"/>
            </w:tcMar>
          </w:tcPr>
          <w:p>
            <w:pPr>
              <w:spacing w:after="60" w:before="60"/>
              <w:jc w:val="left"/>
            </w:pPr>
            <w:r>
              <w:rPr>
                <w:b w:val="false"/>
                <w:bCs w:val="false"/>
                <w:color w:val="0F172A"/>
                <w:sz w:val="18"/>
                <w:szCs w:val="18"/>
              </w:rPr>
              <w:t xml:space="preserve">Continuous monitoring. Alert on p99 &gt; 30s. Owner: Orchestration team.</w:t>
            </w:r>
          </w:p>
        </w:tc>
      </w:tr>
      <w:tr>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Routing failure observability</w:t>
            </w:r>
          </w:p>
        </w:tc>
        <w:tc>
          <w:tcPr>
            <w:shd w:fill="F1F5F9" w:color="F1F5F9" w:val="clear"/>
            <w:tcMar>
              <w:top w:type="dxa" w:w="60"/>
              <w:left w:type="dxa" w:w="120"/>
              <w:bottom w:type="dxa" w:w="60"/>
              <w:right w:type="dxa" w:w="120"/>
            </w:tcMar>
          </w:tcPr>
          <w:p>
            <w:pPr>
              <w:spacing w:after="60" w:before="60"/>
              <w:jc w:val="left"/>
            </w:pPr>
            <w:r>
              <w:rPr>
                <w:rFonts w:ascii="Courier New" w:cs="Courier New" w:eastAsia="Courier New" w:hAnsi="Courier New"/>
                <w:color w:val="7C3AED"/>
                <w:sz w:val="18"/>
                <w:szCs w:val="18"/>
              </w:rPr>
              <w:t xml:space="preserve">SELECT * FROM routing_audit_log WHERE matched = false AND expected_match = true</w:t>
            </w:r>
            <w:r>
              <w:rPr>
                <w:b w:val="false"/>
                <w:bCs w:val="false"/>
                <w:color w:val="0F172A"/>
                <w:sz w:val="17"/>
                <w:szCs w:val="17"/>
              </w:rPr>
              <w:t xml:space="preserve"> (shadow comparison)</w:t>
            </w:r>
          </w:p>
        </w:tc>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Real-time alert on divergence during shadow mode. Post-cutover: weekly audit report. Owner: Chief Architect.</w:t>
            </w:r>
          </w:p>
        </w:tc>
      </w:tr>
    </w:tbl>
    <w:p>
      <w:pPr>
        <w:spacing w:after="60" w:before="60"/>
      </w:pPr>
    </w:p>
    <w:p>
      <w:pPr>
        <w:pStyle w:val="Heading2"/>
        <w:spacing w:after="160" w:before="320"/>
        <w:rPr>
          <w:color w:val="1B2A4A"/>
          <w:sz w:val="28"/>
          <w:szCs w:val="28"/>
        </w:rPr>
      </w:pPr>
      <w:r>
        <w:t xml:space="preserve">4.3 Risk Register</w:t>
      </w:r>
    </w:p>
    <w:p>
      <w:pPr>
        <w:spacing w:after="60" w:before="6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000"/>
        <w:gridCol w:w="2600"/>
      </w:tblGrid>
      <w:tr>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Risk</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Description</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Severity</w:t>
            </w:r>
          </w:p>
        </w:tc>
        <w:tc>
          <w:tcPr>
            <w:gridSpan w:val="1"/>
            <w:shd w:fill="1B2A4A" w:color="1B2A4A" w:val="clear"/>
            <w:tcMar>
              <w:top w:type="dxa" w:w="80"/>
              <w:left w:type="dxa" w:w="120"/>
              <w:bottom w:type="dxa" w:w="80"/>
              <w:right w:type="dxa" w:w="120"/>
            </w:tcMar>
          </w:tcPr>
          <w:p>
            <w:pPr>
              <w:spacing w:after="80" w:before="80"/>
              <w:jc w:val="center"/>
            </w:pPr>
            <w:r>
              <w:rPr>
                <w:b/>
                <w:bCs/>
                <w:color w:val="FFFFFF"/>
                <w:sz w:val="18"/>
                <w:szCs w:val="18"/>
              </w:rPr>
              <w:t xml:space="preserve">Mitigation</w:t>
            </w:r>
          </w:p>
        </w:tc>
      </w:tr>
      <w:tr>
        <w:tc>
          <w:tcPr>
            <w:shd w:fill="FEE2E2" w:color="FEE2E2" w:val="clear"/>
            <w:tcMar>
              <w:top w:type="dxa" w:w="60"/>
              <w:left w:type="dxa" w:w="120"/>
              <w:bottom w:type="dxa" w:w="60"/>
              <w:right w:type="dxa" w:w="120"/>
            </w:tcMar>
          </w:tcPr>
          <w:p>
            <w:pPr>
              <w:spacing w:after="60" w:before="60"/>
              <w:jc w:val="left"/>
            </w:pPr>
            <w:r>
              <w:rPr>
                <w:b/>
                <w:bCs/>
                <w:color w:val="0F172A"/>
                <w:sz w:val="17"/>
                <w:szCs w:val="17"/>
              </w:rPr>
              <w:t xml:space="preserve">CEL Registry Divergence</w:t>
            </w:r>
          </w:p>
        </w:tc>
        <w:tc>
          <w:tcPr>
            <w:shd w:fill="FEE2E2" w:color="FEE2E2" w:val="clear"/>
            <w:tcMar>
              <w:top w:type="dxa" w:w="60"/>
              <w:left w:type="dxa" w:w="120"/>
              <w:bottom w:type="dxa" w:w="60"/>
              <w:right w:type="dxa" w:w="120"/>
            </w:tcMar>
          </w:tcPr>
          <w:p>
            <w:pPr>
              <w:spacing w:after="60" w:before="60"/>
              <w:jc w:val="left"/>
            </w:pPr>
            <w:r>
              <w:rPr>
                <w:b w:val="false"/>
                <w:bCs w:val="false"/>
                <w:color w:val="0F172A"/>
                <w:sz w:val="18"/>
                <w:szCs w:val="18"/>
              </w:rPr>
              <w:t xml:space="preserve">A newly authored CEL rule does not precisely reproduce the behaviour of the legacy routing conditions it replaces, causing a calculator to be under- or over-triggered.</w:t>
            </w:r>
          </w:p>
        </w:tc>
        <w:tc>
          <w:tcPr>
            <w:shd w:fill="FEE2E2" w:color="FEE2E2" w:val="clear"/>
            <w:tcMar>
              <w:top w:type="dxa" w:w="60"/>
              <w:left w:type="dxa" w:w="120"/>
              <w:bottom w:type="dxa" w:w="60"/>
              <w:right w:type="dxa" w:w="120"/>
            </w:tcMar>
          </w:tcPr>
          <w:p>
            <w:pPr>
              <w:spacing w:after="60" w:before="60"/>
              <w:jc w:val="left"/>
            </w:pPr>
            <w:r>
              <w:rPr>
                <w:b/>
                <w:bCs/>
                <w:color w:val="DC2626"/>
                <w:sz w:val="17"/>
                <w:szCs w:val="17"/>
              </w:rPr>
              <w:t xml:space="preserve">HIGH</w:t>
            </w:r>
          </w:p>
        </w:tc>
        <w:tc>
          <w:tcPr>
            <w:shd w:fill="FEE2E2" w:color="FEE2E2" w:val="clear"/>
            <w:tcMar>
              <w:top w:type="dxa" w:w="60"/>
              <w:left w:type="dxa" w:w="120"/>
              <w:bottom w:type="dxa" w:w="60"/>
              <w:right w:type="dxa" w:w="120"/>
            </w:tcMar>
          </w:tcPr>
          <w:p>
            <w:pPr>
              <w:spacing w:after="60" w:before="60"/>
              <w:jc w:val="left"/>
            </w:pPr>
            <w:r>
              <w:rPr>
                <w:b w:val="false"/>
                <w:bCs w:val="false"/>
                <w:color w:val="0F172A"/>
                <w:sz w:val="18"/>
                <w:szCs w:val="18"/>
              </w:rPr>
              <w:t xml:space="preserve">Shadow mode with 100% routing agreement gate. Peer review of every rule by original DAG author. CI syntax + semantic validation.</w:t>
            </w:r>
          </w:p>
        </w:tc>
      </w:tr>
      <w:tr>
        <w:tc>
          <w:tcPr>
            <w:shd w:fill="FEF3C7" w:color="FEF3C7" w:val="clear"/>
            <w:tcMar>
              <w:top w:type="dxa" w:w="60"/>
              <w:left w:type="dxa" w:w="120"/>
              <w:bottom w:type="dxa" w:w="60"/>
              <w:right w:type="dxa" w:w="120"/>
            </w:tcMar>
          </w:tcPr>
          <w:p>
            <w:pPr>
              <w:spacing w:after="60" w:before="60"/>
              <w:jc w:val="left"/>
            </w:pPr>
            <w:r>
              <w:rPr>
                <w:b/>
                <w:bCs/>
                <w:color w:val="0F172A"/>
                <w:sz w:val="17"/>
                <w:szCs w:val="17"/>
              </w:rPr>
              <w:t xml:space="preserve">Partition Migration Risk</w:t>
            </w:r>
          </w:p>
        </w:tc>
        <w:tc>
          <w:tcPr>
            <w:shd w:fill="FEF3C7" w:color="FEF3C7" w:val="clear"/>
            <w:tcMar>
              <w:top w:type="dxa" w:w="60"/>
              <w:left w:type="dxa" w:w="120"/>
              <w:bottom w:type="dxa" w:w="60"/>
              <w:right w:type="dxa" w:w="120"/>
            </w:tcMar>
          </w:tcPr>
          <w:p>
            <w:pPr>
              <w:spacing w:after="60" w:before="60"/>
              <w:jc w:val="left"/>
            </w:pPr>
            <w:r>
              <w:rPr>
                <w:b w:val="false"/>
                <w:bCs w:val="false"/>
                <w:color w:val="0F172A"/>
                <w:sz w:val="18"/>
                <w:szCs w:val="18"/>
              </w:rPr>
              <w:t xml:space="preserve">Range partitioning migration of the existing event table may cause write latency spikes during the backfill window.</w:t>
            </w:r>
          </w:p>
        </w:tc>
        <w:tc>
          <w:tcPr>
            <w:shd w:fill="FEF3C7" w:color="FEF3C7" w:val="clear"/>
            <w:tcMar>
              <w:top w:type="dxa" w:w="60"/>
              <w:left w:type="dxa" w:w="120"/>
              <w:bottom w:type="dxa" w:w="60"/>
              <w:right w:type="dxa" w:w="120"/>
            </w:tcMar>
          </w:tcPr>
          <w:p>
            <w:pPr>
              <w:spacing w:after="60" w:before="60"/>
              <w:jc w:val="left"/>
            </w:pPr>
            <w:r>
              <w:rPr>
                <w:b/>
                <w:bCs/>
                <w:color w:val="D97706"/>
                <w:sz w:val="17"/>
                <w:szCs w:val="17"/>
              </w:rPr>
              <w:t xml:space="preserve">MEDIUM</w:t>
            </w:r>
          </w:p>
        </w:tc>
        <w:tc>
          <w:tcPr>
            <w:shd w:fill="FEF3C7" w:color="FEF3C7" w:val="clear"/>
            <w:tcMar>
              <w:top w:type="dxa" w:w="60"/>
              <w:left w:type="dxa" w:w="120"/>
              <w:bottom w:type="dxa" w:w="60"/>
              <w:right w:type="dxa" w:w="120"/>
            </w:tcMar>
          </w:tcPr>
          <w:p>
            <w:pPr>
              <w:spacing w:after="60" w:before="60"/>
              <w:jc w:val="left"/>
            </w:pPr>
            <w:r>
              <w:rPr>
                <w:b w:val="false"/>
                <w:bCs w:val="false"/>
                <w:color w:val="0F172A"/>
                <w:sz w:val="18"/>
                <w:szCs w:val="18"/>
              </w:rPr>
              <w:t xml:space="preserve">Execute during lowest-volume window (weekend). Use pg_partman's managed attach approach. Rollback: re-point queries to unpartitioned table via view abstraction.</w:t>
            </w:r>
          </w:p>
        </w:tc>
      </w:tr>
      <w:tr>
        <w:tc>
          <w:tcPr>
            <w:shd w:fill="FEF3C7" w:color="FEF3C7" w:val="clear"/>
            <w:tcMar>
              <w:top w:type="dxa" w:w="60"/>
              <w:left w:type="dxa" w:w="120"/>
              <w:bottom w:type="dxa" w:w="60"/>
              <w:right w:type="dxa" w:w="120"/>
            </w:tcMar>
          </w:tcPr>
          <w:p>
            <w:pPr>
              <w:spacing w:after="60" w:before="60"/>
              <w:jc w:val="left"/>
            </w:pPr>
            <w:r>
              <w:rPr>
                <w:b/>
                <w:bCs/>
                <w:color w:val="0F172A"/>
                <w:sz w:val="17"/>
                <w:szCs w:val="17"/>
              </w:rPr>
              <w:t xml:space="preserve">Heartbeat False Trigger</w:t>
            </w:r>
          </w:p>
        </w:tc>
        <w:tc>
          <w:tcPr>
            <w:shd w:fill="FEF3C7" w:color="FEF3C7" w:val="clear"/>
            <w:tcMar>
              <w:top w:type="dxa" w:w="60"/>
              <w:left w:type="dxa" w:w="120"/>
              <w:bottom w:type="dxa" w:w="60"/>
              <w:right w:type="dxa" w:w="120"/>
            </w:tcMar>
          </w:tcPr>
          <w:p>
            <w:pPr>
              <w:spacing w:after="60" w:before="60"/>
              <w:jc w:val="left"/>
            </w:pPr>
            <w:r>
              <w:rPr>
                <w:b w:val="false"/>
                <w:bCs w:val="false"/>
                <w:color w:val="0F172A"/>
                <w:sz w:val="18"/>
                <w:szCs w:val="18"/>
              </w:rPr>
              <w:t xml:space="preserve">Reconciliation heartbeat could trigger a portfolio DAG for a stale business date if event store data is inconsistent.</w:t>
            </w:r>
          </w:p>
        </w:tc>
        <w:tc>
          <w:tcPr>
            <w:shd w:fill="FEF3C7" w:color="FEF3C7" w:val="clear"/>
            <w:tcMar>
              <w:top w:type="dxa" w:w="60"/>
              <w:left w:type="dxa" w:w="120"/>
              <w:bottom w:type="dxa" w:w="60"/>
              <w:right w:type="dxa" w:w="120"/>
            </w:tcMar>
          </w:tcPr>
          <w:p>
            <w:pPr>
              <w:spacing w:after="60" w:before="60"/>
              <w:jc w:val="left"/>
            </w:pPr>
            <w:r>
              <w:rPr>
                <w:b/>
                <w:bCs/>
                <w:color w:val="D97706"/>
                <w:sz w:val="17"/>
                <w:szCs w:val="17"/>
              </w:rPr>
              <w:t xml:space="preserve">MEDIUM</w:t>
            </w:r>
          </w:p>
        </w:tc>
        <w:tc>
          <w:tcPr>
            <w:shd w:fill="FEF3C7" w:color="FEF3C7" w:val="clear"/>
            <w:tcMar>
              <w:top w:type="dxa" w:w="60"/>
              <w:left w:type="dxa" w:w="120"/>
              <w:bottom w:type="dxa" w:w="60"/>
              <w:right w:type="dxa" w:w="120"/>
            </w:tcMar>
          </w:tcPr>
          <w:p>
            <w:pPr>
              <w:spacing w:after="60" w:before="60"/>
              <w:jc w:val="left"/>
            </w:pPr>
            <w:r>
              <w:rPr>
                <w:b w:val="false"/>
                <w:bCs w:val="false"/>
                <w:color w:val="0F172A"/>
                <w:sz w:val="18"/>
                <w:szCs w:val="18"/>
              </w:rPr>
              <w:t xml:space="preserve">Heartbeat evaluates only dates within the current business window (configurable). Idempotent dag_run_id prevents duplicate execution even if triggered twice.</w:t>
            </w:r>
          </w:p>
        </w:tc>
      </w:tr>
      <w:tr>
        <w:tc>
          <w:tcPr>
            <w:shd w:fill="DCFCE7" w:color="DCFCE7" w:val="clear"/>
            <w:tcMar>
              <w:top w:type="dxa" w:w="60"/>
              <w:left w:type="dxa" w:w="120"/>
              <w:bottom w:type="dxa" w:w="60"/>
              <w:right w:type="dxa" w:w="120"/>
            </w:tcMar>
          </w:tcPr>
          <w:p>
            <w:pPr>
              <w:spacing w:after="60" w:before="60"/>
              <w:jc w:val="left"/>
            </w:pPr>
            <w:r>
              <w:rPr>
                <w:b/>
                <w:bCs/>
                <w:color w:val="0F172A"/>
                <w:sz w:val="17"/>
                <w:szCs w:val="17"/>
              </w:rPr>
              <w:t xml:space="preserve">Feature Flag Rollback</w:t>
            </w:r>
          </w:p>
        </w:tc>
        <w:tc>
          <w:tcPr>
            <w:shd w:fill="DCFCE7" w:color="DCFCE7" w:val="clear"/>
            <w:tcMar>
              <w:top w:type="dxa" w:w="60"/>
              <w:left w:type="dxa" w:w="120"/>
              <w:bottom w:type="dxa" w:w="60"/>
              <w:right w:type="dxa" w:w="120"/>
            </w:tcMar>
          </w:tcPr>
          <w:p>
            <w:pPr>
              <w:spacing w:after="60" w:before="60"/>
              <w:jc w:val="left"/>
            </w:pPr>
            <w:r>
              <w:rPr>
                <w:b w:val="false"/>
                <w:bCs w:val="false"/>
                <w:color w:val="0F172A"/>
                <w:sz w:val="18"/>
                <w:szCs w:val="18"/>
              </w:rPr>
              <w:t xml:space="preserve">A newly routed event class reveals an edge case in the CEL evaluator after partial cutover.</w:t>
            </w:r>
          </w:p>
        </w:tc>
        <w:tc>
          <w:tcPr>
            <w:shd w:fill="DCFCE7" w:color="DCFCE7" w:val="clear"/>
            <w:tcMar>
              <w:top w:type="dxa" w:w="60"/>
              <w:left w:type="dxa" w:w="120"/>
              <w:bottom w:type="dxa" w:w="60"/>
              <w:right w:type="dxa" w:w="120"/>
            </w:tcMar>
          </w:tcPr>
          <w:p>
            <w:pPr>
              <w:spacing w:after="60" w:before="60"/>
              <w:jc w:val="left"/>
            </w:pPr>
            <w:r>
              <w:rPr>
                <w:b/>
                <w:bCs/>
                <w:color w:val="16A34A"/>
                <w:sz w:val="17"/>
                <w:szCs w:val="17"/>
              </w:rPr>
              <w:t xml:space="preserve">LOW</w:t>
            </w:r>
          </w:p>
        </w:tc>
        <w:tc>
          <w:tcPr>
            <w:shd w:fill="DCFCE7" w:color="DCFCE7" w:val="clear"/>
            <w:tcMar>
              <w:top w:type="dxa" w:w="60"/>
              <w:left w:type="dxa" w:w="120"/>
              <w:bottom w:type="dxa" w:w="60"/>
              <w:right w:type="dxa" w:w="120"/>
            </w:tcMar>
          </w:tcPr>
          <w:p>
            <w:pPr>
              <w:spacing w:after="60" w:before="60"/>
              <w:jc w:val="left"/>
            </w:pPr>
            <w:r>
              <w:rPr>
                <w:b w:val="false"/>
                <w:bCs w:val="false"/>
                <w:color w:val="0F172A"/>
                <w:sz w:val="18"/>
                <w:szCs w:val="18"/>
              </w:rPr>
              <w:t xml:space="preserve">Single system_properties UPDATE rolls dispatcher traffic to 0%. Legacy Control DAG remains paused (not deleted) through Q3. Rehearsed rollback runbook.</w:t>
            </w:r>
          </w:p>
        </w:tc>
      </w:tr>
      <w:tr>
        <w:tc>
          <w:tcPr>
            <w:shd w:fill="F1F5F9" w:color="F1F5F9" w:val="clear"/>
            <w:tcMar>
              <w:top w:type="dxa" w:w="60"/>
              <w:left w:type="dxa" w:w="120"/>
              <w:bottom w:type="dxa" w:w="60"/>
              <w:right w:type="dxa" w:w="120"/>
            </w:tcMar>
          </w:tcPr>
          <w:p>
            <w:pPr>
              <w:spacing w:after="60" w:before="60"/>
              <w:jc w:val="left"/>
            </w:pPr>
            <w:r>
              <w:rPr>
                <w:b/>
                <w:bCs/>
                <w:color w:val="0F172A"/>
                <w:sz w:val="17"/>
                <w:szCs w:val="17"/>
              </w:rPr>
              <w:t xml:space="preserve">Airflow Version Skew</w:t>
            </w:r>
          </w:p>
        </w:tc>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orchestration (5.2.4) vs orchestration-dags dependency on 5.3.0 may cause incompatibility when the dispatcher uses features only in one version.</w:t>
            </w:r>
          </w:p>
        </w:tc>
        <w:tc>
          <w:tcPr>
            <w:shd w:fill="F1F5F9" w:color="F1F5F9" w:val="clear"/>
            <w:tcMar>
              <w:top w:type="dxa" w:w="60"/>
              <w:left w:type="dxa" w:w="120"/>
              <w:bottom w:type="dxa" w:w="60"/>
              <w:right w:type="dxa" w:w="120"/>
            </w:tcMar>
          </w:tcPr>
          <w:p>
            <w:pPr>
              <w:spacing w:after="60" w:before="60"/>
              <w:jc w:val="left"/>
            </w:pPr>
            <w:r>
              <w:rPr>
                <w:b/>
                <w:bCs/>
                <w:color w:val="475569"/>
                <w:sz w:val="17"/>
                <w:szCs w:val="17"/>
              </w:rPr>
              <w:t xml:space="preserve">LOW</w:t>
            </w:r>
          </w:p>
        </w:tc>
        <w:tc>
          <w:tcPr>
            <w:shd w:fill="F1F5F9" w:color="F1F5F9" w:val="clear"/>
            <w:tcMar>
              <w:top w:type="dxa" w:w="60"/>
              <w:left w:type="dxa" w:w="120"/>
              <w:bottom w:type="dxa" w:w="60"/>
              <w:right w:type="dxa" w:w="120"/>
            </w:tcMar>
          </w:tcPr>
          <w:p>
            <w:pPr>
              <w:spacing w:after="60" w:before="60"/>
              <w:jc w:val="left"/>
            </w:pPr>
            <w:r>
              <w:rPr>
                <w:b w:val="false"/>
                <w:bCs w:val="false"/>
                <w:color w:val="0F172A"/>
                <w:sz w:val="18"/>
                <w:szCs w:val="18"/>
              </w:rPr>
              <w:t xml:space="preserve">Q3 Month 8 standardizes on 5.3.0. Dispatcher authored against lowest common subset until then. CI matrix tests against both versions.</w:t>
            </w:r>
          </w:p>
        </w:tc>
      </w:tr>
    </w:tbl>
    <w:p>
      <w:pPr>
        <w:spacing w:after="60" w:before="60"/>
      </w:pPr>
    </w:p>
    <w:p>
      <w:pPr>
        <w:pBdr>
          <w:bottom w:val="single" w:color="CBD5E1" w:sz="4"/>
        </w:pBdr>
        <w:spacing w:after="160" w:before="160"/>
      </w:pPr>
    </w:p>
    <w:p>
      <w:pPr>
        <w:spacing w:after="60" w:before="60"/>
      </w:pPr>
    </w:p>
    <w:p>
      <w:pPr>
        <w:pStyle w:val="Heading2"/>
        <w:spacing w:after="160" w:before="320"/>
        <w:rPr>
          <w:color w:val="1B2A4A"/>
          <w:sz w:val="28"/>
          <w:szCs w:val="28"/>
        </w:rPr>
      </w:pPr>
      <w:r>
        <w:t xml:space="preserve">Appendix A: Architecture Decision Record Summary</w:t>
      </w:r>
    </w:p>
    <w:p>
      <w:pPr>
        <w:spacing w:after="140" w:before="100"/>
        <w:jc w:val="both"/>
      </w:pPr>
      <w:r>
        <w:rPr>
          <w:b/>
          <w:bCs/>
          <w:color w:val="1B2A4A"/>
          <w:sz w:val="20"/>
          <w:szCs w:val="20"/>
        </w:rPr>
        <w:t xml:space="preserve">ADR-001: CEL over Drools/Rete for rule evaluation</w:t>
      </w:r>
    </w:p>
    <w:p>
      <w:pPr>
        <w:spacing w:after="140" w:before="100"/>
        <w:jc w:val="both"/>
      </w:pPr>
      <w:r>
        <w:rPr>
          <w:b w:val="false"/>
          <w:bCs w:val="false"/>
          <w:i/>
          <w:iCs/>
          <w:color w:val="475569"/>
          <w:sz w:val="19"/>
          <w:szCs w:val="19"/>
        </w:rPr>
        <w:t xml:space="preserve">Decision: Use celpy (Pure Python CEL) for dispatcher rule evaluation.</w:t>
      </w:r>
    </w:p>
    <w:p>
      <w:pPr>
        <w:spacing w:after="140" w:before="100"/>
        <w:jc w:val="both"/>
      </w:pPr>
      <w:r>
        <w:rPr>
          <w:b w:val="false"/>
          <w:bCs w:val="false"/>
          <w:color w:val="0F172A"/>
          <w:sz w:val="20"/>
          <w:szCs w:val="20"/>
        </w:rPr>
        <w:t xml:space="preserve">Rationale: The rule surface is event-field predicate matching—a use case CEL was designed for. celpy requires no JVM dependency, integrates natively into the Python Airflow operator, and compiles to cacheable ASTs. Drools/Rete is appropriate for stateful, forward-chaining production rule systems—unnecessary complexity for this use case.</w:t>
      </w:r>
    </w:p>
    <w:p>
      <w:pPr>
        <w:spacing w:after="60" w:before="60"/>
      </w:pPr>
    </w:p>
    <w:p>
      <w:pPr>
        <w:spacing w:after="140" w:before="100"/>
        <w:jc w:val="both"/>
      </w:pPr>
      <w:r>
        <w:rPr>
          <w:b/>
          <w:bCs/>
          <w:color w:val="1B2A4A"/>
          <w:sz w:val="20"/>
          <w:szCs w:val="20"/>
        </w:rPr>
        <w:t xml:space="preserve">ADR-002: Reconciled Query over Event Accumulator for fan-in</w:t>
      </w:r>
    </w:p>
    <w:p>
      <w:pPr>
        <w:spacing w:after="140" w:before="100"/>
        <w:jc w:val="both"/>
      </w:pPr>
      <w:r>
        <w:rPr>
          <w:b w:val="false"/>
          <w:bCs w:val="false"/>
          <w:i/>
          <w:iCs/>
          <w:color w:val="475569"/>
          <w:sz w:val="19"/>
          <w:szCs w:val="19"/>
        </w:rPr>
        <w:t xml:space="preserve">Decision: Replace mutable Airflow Variable accumulator with a parameterized query against the event store.</w:t>
      </w:r>
    </w:p>
    <w:p>
      <w:pPr>
        <w:spacing w:after="140" w:before="100"/>
        <w:jc w:val="both"/>
      </w:pPr>
      <w:r>
        <w:rPr>
          <w:b w:val="false"/>
          <w:bCs w:val="false"/>
          <w:color w:val="0F172A"/>
          <w:sz w:val="20"/>
          <w:szCs w:val="20"/>
        </w:rPr>
        <w:t xml:space="preserve">Rationale: The event store is the authoritative source of truth for calculator completion events. Deriving fan-in readiness from a query against this store is idempotent, crash-recoverable, and immune to Kafka redelivery. Variable accumulators introduce a secondary state machine that can permanently diverge from reality on any delivery failure.</w:t>
      </w:r>
    </w:p>
    <w:p>
      <w:pPr>
        <w:spacing w:after="60" w:before="60"/>
      </w:pPr>
    </w:p>
    <w:p>
      <w:pPr>
        <w:spacing w:after="140" w:before="100"/>
        <w:jc w:val="both"/>
      </w:pPr>
      <w:r>
        <w:rPr>
          <w:b/>
          <w:bCs/>
          <w:color w:val="1B2A4A"/>
          <w:sz w:val="20"/>
          <w:szCs w:val="20"/>
        </w:rPr>
        <w:t xml:space="preserve">ADR-003: Strangler Fig over Big-Bang migration</w:t>
      </w:r>
    </w:p>
    <w:p>
      <w:pPr>
        <w:spacing w:after="140" w:before="100"/>
        <w:jc w:val="both"/>
      </w:pPr>
      <w:r>
        <w:rPr>
          <w:b w:val="false"/>
          <w:bCs w:val="false"/>
          <w:i/>
          <w:iCs/>
          <w:color w:val="475569"/>
          <w:sz w:val="19"/>
          <w:szCs w:val="19"/>
        </w:rPr>
        <w:t xml:space="preserve">Decision: All phases preserve the legacy routing path in an active-but-shadowed state until 90+ days of production validation.</w:t>
      </w:r>
    </w:p>
    <w:p>
      <w:pPr>
        <w:spacing w:after="140" w:before="100"/>
        <w:jc w:val="both"/>
      </w:pPr>
      <w:r>
        <w:rPr>
          <w:b w:val="false"/>
          <w:bCs w:val="false"/>
          <w:color w:val="0F172A"/>
          <w:sz w:val="20"/>
          <w:szCs w:val="20"/>
        </w:rPr>
        <w:t xml:space="preserve">Rationale: The orchestrator is on the critical path for regulatory capital reporting. Any routing failure that causes a calculator to not run is a potential regulatory breach. The Strangler Fig pattern provides a hard rollback capability (single DB flag) at every phase boundary, with zero downtime and zero risk to live reporting workflows.</w:t>
      </w:r>
    </w:p>
    <w:p>
      <w:pPr>
        <w:spacing w:after="60" w:before="60"/>
      </w:pPr>
    </w:p>
    <w:p>
      <w:pPr>
        <w:pBdr>
          <w:bottom w:val="single" w:color="CBD5E1" w:sz="4"/>
        </w:pBdr>
        <w:spacing w:after="160" w:before="160"/>
      </w:pPr>
    </w:p>
    <w:p>
      <w:pPr>
        <w:spacing w:after="200" w:before="200"/>
        <w:jc w:val="center"/>
      </w:pPr>
      <w:r>
        <w:rPr>
          <w:b w:val="false"/>
          <w:bCs w:val="false"/>
          <w:i/>
          <w:iCs/>
          <w:color w:val="475569"/>
          <w:sz w:val="17"/>
          <w:szCs w:val="17"/>
        </w:rPr>
        <w:t xml:space="preserve">This document is intended for Senior Management review and contains architecture decisions subject to formal ADR process approval. All technical estimates are subject to validation during implementation sprints.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17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pPr>
    <w:rPr>
      <w:rFonts w:ascii="Calibri" w:cs="Calibri" w:eastAsia="Calibri" w:hAnsi="Calibri"/>
      <w:b/>
      <w:bCs/>
      <w:color w:val="1B2A4A"/>
      <w:sz w:val="36"/>
      <w:szCs w:val="36"/>
    </w:rPr>
  </w:style>
  <w:style w:type="paragraph" w:styleId="Heading2">
    <w:name w:val="Heading 2"/>
    <w:basedOn w:val="Normal"/>
    <w:next w:val="Normal"/>
    <w:qFormat/>
    <w:pPr>
      <w:spacing w:after="160" w:before="320"/>
    </w:pPr>
    <w:rPr>
      <w:rFonts w:ascii="Calibri" w:cs="Calibri" w:eastAsia="Calibri" w:hAnsi="Calibri"/>
      <w:b/>
      <w:bCs/>
      <w:color w:val="1B2A4A"/>
      <w:sz w:val="28"/>
      <w:szCs w:val="28"/>
    </w:rPr>
  </w:style>
  <w:style w:type="paragraph" w:styleId="Heading3">
    <w:name w:val="Heading 3"/>
    <w:basedOn w:val="Normal"/>
    <w:next w:val="Normal"/>
    <w:qFormat/>
    <w:pPr>
      <w:spacing w:after="120" w:before="240"/>
    </w:pPr>
    <w:rPr>
      <w:rFonts w:ascii="Calibri" w:cs="Calibri" w:eastAsia="Calibri" w:hAnsi="Calibri"/>
      <w:b/>
      <w:bCs/>
      <w:color w:val="47556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2026-07-10T23:21:45.886Z</dcterms:created>
  <dcterms:modified xsi:type="dcterms:W3CDTF">2026-07-10T23:21:45.898Z</dcterms:modified>
</cp:coreProperties>
</file>

<file path=docProps/custom.xml><?xml version="1.0" encoding="utf-8"?>
<Properties xmlns="http://schemas.openxmlformats.org/officeDocument/2006/custom-properties" xmlns:vt="http://schemas.openxmlformats.org/officeDocument/2006/docPropsVTypes"/>
</file>