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F3864"/>
          <w:sz w:val="52"/>
          <w:szCs w:val="52"/>
        </w:rPr>
        <w:t xml:space="preserve">HOSA – Future Health Professionals</w:t>
      </w:r>
    </w:p>
    <w:p>
      <w:pPr>
        <w:spacing w:after="120"/>
        <w:jc w:val="center"/>
      </w:pPr>
      <w:r>
        <w:rPr>
          <w:b/>
          <w:bCs/>
          <w:color w:val="2E74B5"/>
          <w:sz w:val="40"/>
          <w:szCs w:val="40"/>
        </w:rPr>
        <w:t xml:space="preserve">Competitive Event Outlines</w:t>
      </w:r>
    </w:p>
    <w:p>
      <w:pPr>
        <w:spacing w:after="600"/>
        <w:jc w:val="center"/>
      </w:pPr>
      <w:r>
        <w:rPr>
          <w:i/>
          <w:iCs/>
          <w:color w:val="595959"/>
          <w:sz w:val="30"/>
          <w:szCs w:val="30"/>
        </w:rPr>
        <w:t xml:space="preserve">Knowledge Test Events</w:t>
      </w:r>
    </w:p>
    <w:p>
      <w:pPr>
        <w:spacing w:after="120"/>
        <w:jc w:val="center"/>
      </w:pPr>
      <w:r>
        <w:rPr>
          <w:color w:val="222222"/>
          <w:sz w:val="22"/>
          <w:szCs w:val="22"/>
        </w:rPr>
        <w:t xml:space="preserve">Based on the 2025–2026 HOSA Competitive Events Program</w:t>
      </w:r>
    </w:p>
    <w:p>
      <w:pPr>
        <w:jc w:val="center"/>
      </w:pPr>
      <w:r>
        <w:rPr>
          <w:color w:val="595959"/>
          <w:sz w:val="20"/>
          <w:szCs w:val="20"/>
        </w:rPr>
        <w:t xml:space="preserve">Prepared as a study &amp; advising reference</w:t>
      </w:r>
    </w:p>
    <w:p>
      <w:r>
        <w:br w:type="page"/>
      </w:r>
    </w:p>
    <w:p>
      <w:pPr>
        <w:pStyle w:val="Heading1"/>
        <w:spacing w:after="120" w:before="240"/>
      </w:pPr>
      <w:r>
        <w:rPr>
          <w:b/>
          <w:bCs/>
          <w:color w:val="1F3864"/>
        </w:rPr>
        <w:t xml:space="preserve">About This Document</w:t>
      </w:r>
    </w:p>
    <w:p>
      <w:pPr>
        <w:spacing w:after="100"/>
      </w:pPr>
      <w:r>
        <w:rPr>
          <w:color w:val="222222"/>
          <w:sz w:val="21"/>
          <w:szCs w:val="21"/>
        </w:rPr>
        <w:t xml:space="preserve">This reference covers HOSA's knowledge test events — competitive events whose scoring is based primarily on an objective written test rather than a live skills demonstration or performance. It is organized in two parts:</w:t>
      </w:r>
    </w:p>
    <w:p>
      <w:pPr>
        <w:pStyle w:val="ListParagraph"/>
        <w:numPr>
          <w:ilvl w:val="0"/>
          <w:numId w:val="1"/>
        </w:numPr>
        <w:spacing w:after="40"/>
      </w:pPr>
      <w:r>
        <w:rPr>
          <w:color w:val="222222"/>
          <w:sz w:val="21"/>
          <w:szCs w:val="21"/>
        </w:rPr>
        <w:t xml:space="preserve">Part 1 — Health Science Events: fifteen test events in which Round One is a written multiple-choice test and top scorers advance to a second written round at the International Leadership Conference (ILC).</w:t>
      </w:r>
    </w:p>
    <w:p>
      <w:pPr>
        <w:pStyle w:val="ListParagraph"/>
        <w:numPr>
          <w:ilvl w:val="0"/>
          <w:numId w:val="1"/>
        </w:numPr>
        <w:spacing w:after="40"/>
      </w:pPr>
      <w:r>
        <w:rPr>
          <w:color w:val="222222"/>
          <w:sz w:val="21"/>
          <w:szCs w:val="21"/>
        </w:rPr>
        <w:t xml:space="preserve">Part 2 — Academic Testing Center (ATC) Events: the National Geographic Learning / Cengage academic tests, each a single 50-item multiple-choice exam on a specific academic subject.</w:t>
      </w:r>
    </w:p>
    <w:p>
      <w:pPr>
        <w:spacing w:after="100"/>
      </w:pPr>
      <w:r>
        <w:rPr>
          <w:color w:val="595959"/>
          <w:sz w:val="21"/>
          <w:szCs w:val="21"/>
        </w:rPr>
        <w:t xml:space="preserve">Important: HOSA updates its guidelines every year. Exact question counts, time limits, reference editions, and topic weightings are defined in each event's official guideline PDF at hosa.org/guidelines. Always confirm details against the current-year file before competing.</w:t>
      </w:r>
    </w:p>
    <w:p>
      <w:pPr>
        <w:pStyle w:val="Heading1"/>
        <w:spacing w:after="120" w:before="240"/>
      </w:pPr>
      <w:r>
        <w:rPr>
          <w:b/>
          <w:bCs/>
          <w:color w:val="1F3864"/>
        </w:rPr>
        <w:t xml:space="preserve">Table of 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120"/>
      </w:pPr>
      <w:r>
        <w:rPr>
          <w:b/>
          <w:bCs/>
          <w:color w:val="1F3864"/>
        </w:rPr>
        <w:t xml:space="preserve">Part 1 — Health Science (Knowledge Test) Events</w:t>
      </w:r>
    </w:p>
    <w:p>
      <w:pPr>
        <w:spacing w:after="100"/>
      </w:pPr>
      <w:r>
        <w:rPr>
          <w:color w:val="222222"/>
          <w:sz w:val="21"/>
          <w:szCs w:val="21"/>
        </w:rPr>
        <w:t xml:space="preserve">Each of the following fifteen events is scored by an objective written test. The outline for each lists its purpose, format, typical test specifications, key content, references, attire, scoring, and preparation tips.</w:t>
      </w:r>
    </w:p>
    <w:p>
      <w:r>
        <w:br w:type="page"/>
      </w:r>
    </w:p>
    <w:p>
      <w:pPr>
        <w:pStyle w:val="Heading1"/>
        <w:spacing w:after="120" w:before="240"/>
      </w:pPr>
      <w:r>
        <w:rPr>
          <w:b/>
          <w:bCs/>
          <w:color w:val="1F3864"/>
        </w:rPr>
        <w:t xml:space="preserve">1. Behavioral Health</w:t>
      </w:r>
    </w:p>
    <w:p>
      <w:pPr>
        <w:spacing w:after="60"/>
      </w:pPr>
      <w:r>
        <w:rPr>
          <w:b/>
          <w:bCs/>
          <w:color w:val="1F3864"/>
          <w:sz w:val="21"/>
          <w:szCs w:val="21"/>
        </w:rPr>
        <w:t xml:space="preserve">Category: </w:t>
      </w:r>
      <w:r>
        <w:rPr>
          <w:color w:val="222222"/>
          <w:sz w:val="21"/>
          <w:szCs w:val="21"/>
        </w:rPr>
        <w:t xml:space="preserve">Health Science Event (knowledge test)</w:t>
      </w:r>
    </w:p>
    <w:p>
      <w:pPr>
        <w:spacing w:after="60"/>
      </w:pPr>
      <w:r>
        <w:rPr>
          <w:b/>
          <w:bCs/>
          <w:color w:val="1F3864"/>
          <w:sz w:val="21"/>
          <w:szCs w:val="21"/>
        </w:rPr>
        <w:t xml:space="preserve">Divisions: </w:t>
      </w:r>
      <w:r>
        <w:rPr>
          <w:color w:val="222222"/>
          <w:sz w:val="21"/>
          <w:szCs w:val="21"/>
        </w:rPr>
        <w:t xml:space="preserve">Secondary (SS) and Postsecondary/Collegiate (PSC); confirm Middle School availability in current guidelines</w:t>
      </w:r>
    </w:p>
    <w:p>
      <w:pPr>
        <w:pStyle w:val="Heading2"/>
        <w:spacing w:after="80" w:before="200"/>
      </w:pPr>
      <w:r>
        <w:rPr>
          <w:b/>
          <w:bCs/>
          <w:color w:val="2E74B5"/>
        </w:rPr>
        <w:t xml:space="preserve">Purpose</w:t>
      </w:r>
    </w:p>
    <w:p>
      <w:pPr>
        <w:spacing w:after="100"/>
      </w:pPr>
      <w:r>
        <w:rPr>
          <w:color w:val="222222"/>
          <w:sz w:val="21"/>
          <w:szCs w:val="21"/>
        </w:rPr>
        <w:t xml:space="preserve">Assesses knowledge of mental and behavioral health, including psychological disorders, treatment approaches, and the role of behavioral health in overall wellness.</w:t>
      </w:r>
    </w:p>
    <w:p>
      <w:pPr>
        <w:pStyle w:val="Heading2"/>
        <w:spacing w:after="80" w:before="200"/>
      </w:pPr>
      <w:r>
        <w:rPr>
          <w:b/>
          <w:bCs/>
          <w:color w:val="2E74B5"/>
        </w:rPr>
        <w:t xml:space="preserve">Event Format</w:t>
      </w:r>
    </w:p>
    <w:p>
      <w:pPr>
        <w:spacing w:after="100"/>
      </w:pPr>
      <w:r>
        <w:rPr>
          <w:color w:val="222222"/>
          <w:sz w:val="21"/>
          <w:szCs w:val="21"/>
        </w:rPr>
        <w:t xml:space="preserve">Round One is a written, objective multiple-choice test taken at the qualifying (state/regional) conference. Top-scoring competitors advance to Round Two at the ILC, a second written test. Final placement is based on the Round Two score, with tie-breakers as specified.</w:t>
      </w:r>
    </w:p>
    <w:p>
      <w:pPr>
        <w:spacing w:after="60"/>
      </w:pPr>
      <w:r>
        <w:rPr>
          <w:b/>
          <w:bCs/>
          <w:color w:val="1F3864"/>
          <w:sz w:val="21"/>
          <w:szCs w:val="21"/>
        </w:rPr>
        <w:t xml:space="preserve">Typical test specifications: </w:t>
      </w:r>
      <w:r>
        <w:rPr>
          <w:color w:val="222222"/>
          <w:sz w:val="21"/>
          <w:szCs w:val="21"/>
        </w:rPr>
        <w:t xml:space="preserve">Commonly 100 multiple-choice questions in 90 minutes with a tie-breaker. Exact counts/timing are set yearly in the official guideline.</w:t>
      </w:r>
    </w:p>
    <w:p>
      <w:pPr>
        <w:pStyle w:val="Heading2"/>
        <w:spacing w:after="80" w:before="200"/>
      </w:pPr>
      <w:r>
        <w:rPr>
          <w:b/>
          <w:bCs/>
          <w:color w:val="2E74B5"/>
        </w:rPr>
        <w:t xml:space="preserve">Key Content / Topics</w:t>
      </w:r>
    </w:p>
    <w:p>
      <w:pPr>
        <w:pStyle w:val="ListParagraph"/>
        <w:numPr>
          <w:ilvl w:val="0"/>
          <w:numId w:val="1"/>
        </w:numPr>
        <w:spacing w:after="40"/>
      </w:pPr>
      <w:r>
        <w:rPr>
          <w:color w:val="222222"/>
          <w:sz w:val="21"/>
          <w:szCs w:val="21"/>
        </w:rPr>
        <w:t xml:space="preserve">Common mental health disorders (mood, anxiety, psychotic, personality)</w:t>
      </w:r>
    </w:p>
    <w:p>
      <w:pPr>
        <w:pStyle w:val="ListParagraph"/>
        <w:numPr>
          <w:ilvl w:val="0"/>
          <w:numId w:val="1"/>
        </w:numPr>
        <w:spacing w:after="40"/>
      </w:pPr>
      <w:r>
        <w:rPr>
          <w:color w:val="222222"/>
          <w:sz w:val="21"/>
          <w:szCs w:val="21"/>
        </w:rPr>
        <w:t xml:space="preserve">Diagnostic criteria and the DSM framework</w:t>
      </w:r>
    </w:p>
    <w:p>
      <w:pPr>
        <w:pStyle w:val="ListParagraph"/>
        <w:numPr>
          <w:ilvl w:val="0"/>
          <w:numId w:val="1"/>
        </w:numPr>
        <w:spacing w:after="40"/>
      </w:pPr>
      <w:r>
        <w:rPr>
          <w:color w:val="222222"/>
          <w:sz w:val="21"/>
          <w:szCs w:val="21"/>
        </w:rPr>
        <w:t xml:space="preserve">Treatment modalities: therapy, medication, crisis intervention</w:t>
      </w:r>
    </w:p>
    <w:p>
      <w:pPr>
        <w:pStyle w:val="ListParagraph"/>
        <w:numPr>
          <w:ilvl w:val="0"/>
          <w:numId w:val="1"/>
        </w:numPr>
        <w:spacing w:after="40"/>
      </w:pPr>
      <w:r>
        <w:rPr>
          <w:color w:val="222222"/>
          <w:sz w:val="21"/>
          <w:szCs w:val="21"/>
        </w:rPr>
        <w:t xml:space="preserve">Substance use and addiction</w:t>
      </w:r>
    </w:p>
    <w:p>
      <w:pPr>
        <w:pStyle w:val="ListParagraph"/>
        <w:numPr>
          <w:ilvl w:val="0"/>
          <w:numId w:val="1"/>
        </w:numPr>
        <w:spacing w:after="40"/>
      </w:pPr>
      <w:r>
        <w:rPr>
          <w:color w:val="222222"/>
          <w:sz w:val="21"/>
          <w:szCs w:val="21"/>
        </w:rPr>
        <w:t xml:space="preserve">Behavioral health across the lifespan</w:t>
      </w:r>
    </w:p>
    <w:p>
      <w:pPr>
        <w:pStyle w:val="ListParagraph"/>
        <w:numPr>
          <w:ilvl w:val="0"/>
          <w:numId w:val="1"/>
        </w:numPr>
        <w:spacing w:after="40"/>
      </w:pPr>
      <w:r>
        <w:rPr>
          <w:color w:val="222222"/>
          <w:sz w:val="21"/>
          <w:szCs w:val="21"/>
        </w:rPr>
        <w:t xml:space="preserve">Ethics, confidentiality, and patient rights</w:t>
      </w:r>
    </w:p>
    <w:p>
      <w:pPr>
        <w:pStyle w:val="ListParagraph"/>
        <w:numPr>
          <w:ilvl w:val="0"/>
          <w:numId w:val="1"/>
        </w:numPr>
        <w:spacing w:after="40"/>
      </w:pPr>
      <w:r>
        <w:rPr>
          <w:color w:val="222222"/>
          <w:sz w:val="21"/>
          <w:szCs w:val="21"/>
        </w:rPr>
        <w:t xml:space="preserve">Community and public behavioral health resources</w:t>
      </w:r>
    </w:p>
    <w:p>
      <w:pPr>
        <w:pStyle w:val="Heading2"/>
        <w:spacing w:after="80" w:before="200"/>
      </w:pPr>
      <w:r>
        <w:rPr>
          <w:b/>
          <w:bCs/>
          <w:color w:val="2E74B5"/>
        </w:rPr>
        <w:t xml:space="preserve">Recommended References</w:t>
      </w:r>
    </w:p>
    <w:p>
      <w:pPr>
        <w:spacing w:after="100"/>
      </w:pPr>
      <w:r>
        <w:rPr>
          <w:color w:val="222222"/>
          <w:sz w:val="21"/>
          <w:szCs w:val="21"/>
        </w:rPr>
        <w:t xml:space="preserve">Introductory psychology / behavioral health texts as listed in the official event guidelines.</w:t>
      </w:r>
    </w:p>
    <w:p>
      <w:pPr>
        <w:pStyle w:val="Heading2"/>
        <w:spacing w:after="80" w:before="200"/>
      </w:pPr>
      <w:r>
        <w:rPr>
          <w:b/>
          <w:bCs/>
          <w:color w:val="2E74B5"/>
        </w:rPr>
        <w:t xml:space="preserve">Attire</w:t>
      </w:r>
    </w:p>
    <w:p>
      <w:pPr>
        <w:spacing w:after="100"/>
      </w:pPr>
      <w:r>
        <w:rPr>
          <w:color w:val="222222"/>
          <w:sz w:val="21"/>
          <w:szCs w:val="21"/>
        </w:rPr>
        <w:t xml:space="preserve">Official HOSA competition attire or appropriate business/uniform dress per the HOSA Dress Code (Appendix). Proper dress is required to receive awards.</w:t>
      </w:r>
    </w:p>
    <w:p>
      <w:pPr>
        <w:pStyle w:val="Heading2"/>
        <w:spacing w:after="80" w:before="200"/>
      </w:pPr>
      <w:r>
        <w:rPr>
          <w:b/>
          <w:bCs/>
          <w:color w:val="2E74B5"/>
        </w:rPr>
        <w:t xml:space="preserve">Scoring &amp; Tie-Breakers</w:t>
      </w:r>
    </w:p>
    <w:p>
      <w:pPr>
        <w:spacing w:after="100"/>
      </w:pPr>
      <w:r>
        <w:rPr>
          <w:color w:val="222222"/>
          <w:sz w:val="21"/>
          <w:szCs w:val="21"/>
        </w:rPr>
        <w:t xml:space="preserve">Scored on number of correct answers; a designated tie-breaker question or alternate-round score resolves ties.</w:t>
      </w:r>
    </w:p>
    <w:p>
      <w:pPr>
        <w:pStyle w:val="Heading2"/>
        <w:spacing w:after="80" w:before="200"/>
      </w:pPr>
      <w:r>
        <w:rPr>
          <w:b/>
          <w:bCs/>
          <w:color w:val="2E74B5"/>
        </w:rPr>
        <w:t xml:space="preserve">Preparation Tips</w:t>
      </w:r>
    </w:p>
    <w:p>
      <w:pPr>
        <w:pStyle w:val="ListParagraph"/>
        <w:numPr>
          <w:ilvl w:val="0"/>
          <w:numId w:val="1"/>
        </w:numPr>
        <w:spacing w:after="40"/>
      </w:pPr>
      <w:r>
        <w:rPr>
          <w:color w:val="222222"/>
          <w:sz w:val="21"/>
          <w:szCs w:val="21"/>
        </w:rPr>
        <w:t xml:space="preserve">Download the current official guideline PDF for this event and note the listed reference texts and editions.</w:t>
      </w:r>
    </w:p>
    <w:p>
      <w:pPr>
        <w:pStyle w:val="ListParagraph"/>
        <w:numPr>
          <w:ilvl w:val="0"/>
          <w:numId w:val="1"/>
        </w:numPr>
        <w:spacing w:after="40"/>
      </w:pPr>
      <w:r>
        <w:rPr>
          <w:color w:val="222222"/>
          <w:sz w:val="21"/>
          <w:szCs w:val="21"/>
        </w:rPr>
        <w:t xml:space="preserve">Build a study plan around the topic list above; use flashcards for terminology-heavy content.</w:t>
      </w:r>
    </w:p>
    <w:p>
      <w:pPr>
        <w:pStyle w:val="ListParagraph"/>
        <w:numPr>
          <w:ilvl w:val="0"/>
          <w:numId w:val="1"/>
        </w:numPr>
        <w:spacing w:after="40"/>
      </w:pPr>
      <w:r>
        <w:rPr>
          <w:color w:val="222222"/>
          <w:sz w:val="21"/>
          <w:szCs w:val="21"/>
        </w:rPr>
        <w:t xml:space="preserve">Take timed practice tests to build speed for the timed format.</w:t>
      </w:r>
    </w:p>
    <w:p>
      <w:pPr>
        <w:pStyle w:val="ListParagraph"/>
        <w:numPr>
          <w:ilvl w:val="0"/>
          <w:numId w:val="1"/>
        </w:numPr>
        <w:spacing w:after="40"/>
      </w:pPr>
      <w:r>
        <w:rPr>
          <w:color w:val="222222"/>
          <w:sz w:val="21"/>
          <w:szCs w:val="21"/>
        </w:rPr>
        <w:t xml:space="preserve">Study with a partner or team and quiz each other on high-yield topics.</w:t>
      </w:r>
    </w:p>
    <w:p>
      <w:pPr>
        <w:pStyle w:val="ListParagraph"/>
        <w:numPr>
          <w:ilvl w:val="0"/>
          <w:numId w:val="1"/>
        </w:numPr>
        <w:spacing w:after="40"/>
      </w:pPr>
      <w:r>
        <w:rPr>
          <w:color w:val="222222"/>
          <w:sz w:val="21"/>
          <w:szCs w:val="21"/>
        </w:rPr>
        <w:t xml:space="preserve">Review any released sample items and HOSA tip sheets.</w:t>
      </w:r>
    </w:p>
    <w:p>
      <w:r>
        <w:br w:type="page"/>
      </w:r>
    </w:p>
    <w:p>
      <w:pPr>
        <w:pStyle w:val="Heading1"/>
        <w:spacing w:after="120" w:before="240"/>
      </w:pPr>
      <w:r>
        <w:rPr>
          <w:b/>
          <w:bCs/>
          <w:color w:val="1F3864"/>
        </w:rPr>
        <w:t xml:space="preserve">2. Biomedical Equipment Technology</w:t>
      </w:r>
    </w:p>
    <w:p>
      <w:pPr>
        <w:spacing w:after="60"/>
      </w:pPr>
      <w:r>
        <w:rPr>
          <w:b/>
          <w:bCs/>
          <w:color w:val="1F3864"/>
          <w:sz w:val="21"/>
          <w:szCs w:val="21"/>
        </w:rPr>
        <w:t xml:space="preserve">Category: </w:t>
      </w:r>
      <w:r>
        <w:rPr>
          <w:color w:val="222222"/>
          <w:sz w:val="21"/>
          <w:szCs w:val="21"/>
        </w:rPr>
        <w:t xml:space="preserve">Health Science Event (knowledge test)</w:t>
      </w:r>
    </w:p>
    <w:p>
      <w:pPr>
        <w:spacing w:after="60"/>
      </w:pPr>
      <w:r>
        <w:rPr>
          <w:b/>
          <w:bCs/>
          <w:color w:val="1F3864"/>
          <w:sz w:val="21"/>
          <w:szCs w:val="21"/>
        </w:rPr>
        <w:t xml:space="preserve">Divisions: </w:t>
      </w:r>
      <w:r>
        <w:rPr>
          <w:color w:val="222222"/>
          <w:sz w:val="21"/>
          <w:szCs w:val="21"/>
        </w:rPr>
        <w:t xml:space="preserve">Secondary (SS) and Postsecondary/Collegiate (PSC); confirm Middle School availability in current guidelines</w:t>
      </w:r>
    </w:p>
    <w:p>
      <w:pPr>
        <w:pStyle w:val="Heading2"/>
        <w:spacing w:after="80" w:before="200"/>
      </w:pPr>
      <w:r>
        <w:rPr>
          <w:b/>
          <w:bCs/>
          <w:color w:val="2E74B5"/>
        </w:rPr>
        <w:t xml:space="preserve">Purpose</w:t>
      </w:r>
    </w:p>
    <w:p>
      <w:pPr>
        <w:spacing w:after="100"/>
      </w:pPr>
      <w:r>
        <w:rPr>
          <w:color w:val="222222"/>
          <w:sz w:val="21"/>
          <w:szCs w:val="21"/>
        </w:rPr>
        <w:t xml:space="preserve">Tests knowledge of the equipment used in healthcare settings — its operation, maintenance, safety, and troubleshooting.</w:t>
      </w:r>
    </w:p>
    <w:p>
      <w:pPr>
        <w:pStyle w:val="Heading2"/>
        <w:spacing w:after="80" w:before="200"/>
      </w:pPr>
      <w:r>
        <w:rPr>
          <w:b/>
          <w:bCs/>
          <w:color w:val="2E74B5"/>
        </w:rPr>
        <w:t xml:space="preserve">Event Format</w:t>
      </w:r>
    </w:p>
    <w:p>
      <w:pPr>
        <w:spacing w:after="100"/>
      </w:pPr>
      <w:r>
        <w:rPr>
          <w:color w:val="222222"/>
          <w:sz w:val="21"/>
          <w:szCs w:val="21"/>
        </w:rPr>
        <w:t xml:space="preserve">Round One is a written, objective multiple-choice test taken at the qualifying (state/regional) conference. Top-scoring competitors advance to Round Two at the ILC, a second written test. Final placement is based on the Round Two score, with tie-breakers as specified.</w:t>
      </w:r>
    </w:p>
    <w:p>
      <w:pPr>
        <w:spacing w:after="60"/>
      </w:pPr>
      <w:r>
        <w:rPr>
          <w:b/>
          <w:bCs/>
          <w:color w:val="1F3864"/>
          <w:sz w:val="21"/>
          <w:szCs w:val="21"/>
        </w:rPr>
        <w:t xml:space="preserve">Typical test specifications: </w:t>
      </w:r>
      <w:r>
        <w:rPr>
          <w:color w:val="222222"/>
          <w:sz w:val="21"/>
          <w:szCs w:val="21"/>
        </w:rPr>
        <w:t xml:space="preserve">Commonly 100 multiple-choice questions in 90 minutes with a tie-breaker. Exact counts/timing are set yearly in the official guideline.</w:t>
      </w:r>
    </w:p>
    <w:p>
      <w:pPr>
        <w:pStyle w:val="Heading2"/>
        <w:spacing w:after="80" w:before="200"/>
      </w:pPr>
      <w:r>
        <w:rPr>
          <w:b/>
          <w:bCs/>
          <w:color w:val="2E74B5"/>
        </w:rPr>
        <w:t xml:space="preserve">Key Content / Topics</w:t>
      </w:r>
    </w:p>
    <w:p>
      <w:pPr>
        <w:pStyle w:val="ListParagraph"/>
        <w:numPr>
          <w:ilvl w:val="0"/>
          <w:numId w:val="1"/>
        </w:numPr>
        <w:spacing w:after="40"/>
      </w:pPr>
      <w:r>
        <w:rPr>
          <w:color w:val="222222"/>
          <w:sz w:val="21"/>
          <w:szCs w:val="21"/>
        </w:rPr>
        <w:t xml:space="preserve">Categories of biomedical equipment</w:t>
      </w:r>
    </w:p>
    <w:p>
      <w:pPr>
        <w:pStyle w:val="ListParagraph"/>
        <w:numPr>
          <w:ilvl w:val="0"/>
          <w:numId w:val="1"/>
        </w:numPr>
        <w:spacing w:after="40"/>
      </w:pPr>
      <w:r>
        <w:rPr>
          <w:color w:val="222222"/>
          <w:sz w:val="21"/>
          <w:szCs w:val="21"/>
        </w:rPr>
        <w:t xml:space="preserve">Electrical safety and equipment standards</w:t>
      </w:r>
    </w:p>
    <w:p>
      <w:pPr>
        <w:pStyle w:val="ListParagraph"/>
        <w:numPr>
          <w:ilvl w:val="0"/>
          <w:numId w:val="1"/>
        </w:numPr>
        <w:spacing w:after="40"/>
      </w:pPr>
      <w:r>
        <w:rPr>
          <w:color w:val="222222"/>
          <w:sz w:val="21"/>
          <w:szCs w:val="21"/>
        </w:rPr>
        <w:t xml:space="preserve">Preventive maintenance and calibration</w:t>
      </w:r>
    </w:p>
    <w:p>
      <w:pPr>
        <w:pStyle w:val="ListParagraph"/>
        <w:numPr>
          <w:ilvl w:val="0"/>
          <w:numId w:val="1"/>
        </w:numPr>
        <w:spacing w:after="40"/>
      </w:pPr>
      <w:r>
        <w:rPr>
          <w:color w:val="222222"/>
          <w:sz w:val="21"/>
          <w:szCs w:val="21"/>
        </w:rPr>
        <w:t xml:space="preserve">Basic electronics and instrumentation</w:t>
      </w:r>
    </w:p>
    <w:p>
      <w:pPr>
        <w:pStyle w:val="ListParagraph"/>
        <w:numPr>
          <w:ilvl w:val="0"/>
          <w:numId w:val="1"/>
        </w:numPr>
        <w:spacing w:after="40"/>
      </w:pPr>
      <w:r>
        <w:rPr>
          <w:color w:val="222222"/>
          <w:sz w:val="21"/>
          <w:szCs w:val="21"/>
        </w:rPr>
        <w:t xml:space="preserve">Troubleshooting and repair principles</w:t>
      </w:r>
    </w:p>
    <w:p>
      <w:pPr>
        <w:pStyle w:val="ListParagraph"/>
        <w:numPr>
          <w:ilvl w:val="0"/>
          <w:numId w:val="1"/>
        </w:numPr>
        <w:spacing w:after="40"/>
      </w:pPr>
      <w:r>
        <w:rPr>
          <w:color w:val="222222"/>
          <w:sz w:val="21"/>
          <w:szCs w:val="21"/>
        </w:rPr>
        <w:t xml:space="preserve">Regulatory and safety compliance (e.g., FDA, Joint Commission)</w:t>
      </w:r>
    </w:p>
    <w:p>
      <w:pPr>
        <w:pStyle w:val="Heading2"/>
        <w:spacing w:after="80" w:before="200"/>
      </w:pPr>
      <w:r>
        <w:rPr>
          <w:b/>
          <w:bCs/>
          <w:color w:val="2E74B5"/>
        </w:rPr>
        <w:t xml:space="preserve">Recommended References</w:t>
      </w:r>
    </w:p>
    <w:p>
      <w:pPr>
        <w:spacing w:after="100"/>
      </w:pPr>
      <w:r>
        <w:rPr>
          <w:color w:val="222222"/>
          <w:sz w:val="21"/>
          <w:szCs w:val="21"/>
        </w:rPr>
        <w:t xml:space="preserve">Biomedical equipment technology texts identified in the official event guidelines.</w:t>
      </w:r>
    </w:p>
    <w:p>
      <w:pPr>
        <w:pStyle w:val="Heading2"/>
        <w:spacing w:after="80" w:before="200"/>
      </w:pPr>
      <w:r>
        <w:rPr>
          <w:b/>
          <w:bCs/>
          <w:color w:val="2E74B5"/>
        </w:rPr>
        <w:t xml:space="preserve">Attire</w:t>
      </w:r>
    </w:p>
    <w:p>
      <w:pPr>
        <w:spacing w:after="100"/>
      </w:pPr>
      <w:r>
        <w:rPr>
          <w:color w:val="222222"/>
          <w:sz w:val="21"/>
          <w:szCs w:val="21"/>
        </w:rPr>
        <w:t xml:space="preserve">Official HOSA competition attire or appropriate business/uniform dress per the HOSA Dress Code (Appendix). Proper dress is required to receive awards.</w:t>
      </w:r>
    </w:p>
    <w:p>
      <w:pPr>
        <w:pStyle w:val="Heading2"/>
        <w:spacing w:after="80" w:before="200"/>
      </w:pPr>
      <w:r>
        <w:rPr>
          <w:b/>
          <w:bCs/>
          <w:color w:val="2E74B5"/>
        </w:rPr>
        <w:t xml:space="preserve">Scoring &amp; Tie-Breakers</w:t>
      </w:r>
    </w:p>
    <w:p>
      <w:pPr>
        <w:spacing w:after="100"/>
      </w:pPr>
      <w:r>
        <w:rPr>
          <w:color w:val="222222"/>
          <w:sz w:val="21"/>
          <w:szCs w:val="21"/>
        </w:rPr>
        <w:t xml:space="preserve">Scored on number of correct answers; a designated tie-breaker question or alternate-round score resolves ties.</w:t>
      </w:r>
    </w:p>
    <w:p>
      <w:pPr>
        <w:pStyle w:val="Heading2"/>
        <w:spacing w:after="80" w:before="200"/>
      </w:pPr>
      <w:r>
        <w:rPr>
          <w:b/>
          <w:bCs/>
          <w:color w:val="2E74B5"/>
        </w:rPr>
        <w:t xml:space="preserve">Preparation Tips</w:t>
      </w:r>
    </w:p>
    <w:p>
      <w:pPr>
        <w:pStyle w:val="ListParagraph"/>
        <w:numPr>
          <w:ilvl w:val="0"/>
          <w:numId w:val="1"/>
        </w:numPr>
        <w:spacing w:after="40"/>
      </w:pPr>
      <w:r>
        <w:rPr>
          <w:color w:val="222222"/>
          <w:sz w:val="21"/>
          <w:szCs w:val="21"/>
        </w:rPr>
        <w:t xml:space="preserve">Download the current official guideline PDF for this event and note the listed reference texts and editions.</w:t>
      </w:r>
    </w:p>
    <w:p>
      <w:pPr>
        <w:pStyle w:val="ListParagraph"/>
        <w:numPr>
          <w:ilvl w:val="0"/>
          <w:numId w:val="1"/>
        </w:numPr>
        <w:spacing w:after="40"/>
      </w:pPr>
      <w:r>
        <w:rPr>
          <w:color w:val="222222"/>
          <w:sz w:val="21"/>
          <w:szCs w:val="21"/>
        </w:rPr>
        <w:t xml:space="preserve">Build a study plan around the topic list above; use flashcards for terminology-heavy content.</w:t>
      </w:r>
    </w:p>
    <w:p>
      <w:pPr>
        <w:pStyle w:val="ListParagraph"/>
        <w:numPr>
          <w:ilvl w:val="0"/>
          <w:numId w:val="1"/>
        </w:numPr>
        <w:spacing w:after="40"/>
      </w:pPr>
      <w:r>
        <w:rPr>
          <w:color w:val="222222"/>
          <w:sz w:val="21"/>
          <w:szCs w:val="21"/>
        </w:rPr>
        <w:t xml:space="preserve">Take timed practice tests to build speed for the timed format.</w:t>
      </w:r>
    </w:p>
    <w:p>
      <w:pPr>
        <w:pStyle w:val="ListParagraph"/>
        <w:numPr>
          <w:ilvl w:val="0"/>
          <w:numId w:val="1"/>
        </w:numPr>
        <w:spacing w:after="40"/>
      </w:pPr>
      <w:r>
        <w:rPr>
          <w:color w:val="222222"/>
          <w:sz w:val="21"/>
          <w:szCs w:val="21"/>
        </w:rPr>
        <w:t xml:space="preserve">Study with a partner or team and quiz each other on high-yield topics.</w:t>
      </w:r>
    </w:p>
    <w:p>
      <w:pPr>
        <w:pStyle w:val="ListParagraph"/>
        <w:numPr>
          <w:ilvl w:val="0"/>
          <w:numId w:val="1"/>
        </w:numPr>
        <w:spacing w:after="40"/>
      </w:pPr>
      <w:r>
        <w:rPr>
          <w:color w:val="222222"/>
          <w:sz w:val="21"/>
          <w:szCs w:val="21"/>
        </w:rPr>
        <w:t xml:space="preserve">Review any released sample items and HOSA tip sheets.</w:t>
      </w:r>
    </w:p>
    <w:p>
      <w:r>
        <w:br w:type="page"/>
      </w:r>
    </w:p>
    <w:p>
      <w:pPr>
        <w:pStyle w:val="Heading1"/>
        <w:spacing w:after="120" w:before="240"/>
      </w:pPr>
      <w:r>
        <w:rPr>
          <w:b/>
          <w:bCs/>
          <w:color w:val="1F3864"/>
        </w:rPr>
        <w:t xml:space="preserve">3. Dental Terminology</w:t>
      </w:r>
    </w:p>
    <w:p>
      <w:pPr>
        <w:spacing w:after="60"/>
      </w:pPr>
      <w:r>
        <w:rPr>
          <w:b/>
          <w:bCs/>
          <w:color w:val="1F3864"/>
          <w:sz w:val="21"/>
          <w:szCs w:val="21"/>
        </w:rPr>
        <w:t xml:space="preserve">Category: </w:t>
      </w:r>
      <w:r>
        <w:rPr>
          <w:color w:val="222222"/>
          <w:sz w:val="21"/>
          <w:szCs w:val="21"/>
        </w:rPr>
        <w:t xml:space="preserve">Health Science Event (knowledge test)</w:t>
      </w:r>
    </w:p>
    <w:p>
      <w:pPr>
        <w:spacing w:after="60"/>
      </w:pPr>
      <w:r>
        <w:rPr>
          <w:b/>
          <w:bCs/>
          <w:color w:val="1F3864"/>
          <w:sz w:val="21"/>
          <w:szCs w:val="21"/>
        </w:rPr>
        <w:t xml:space="preserve">Divisions: </w:t>
      </w:r>
      <w:r>
        <w:rPr>
          <w:color w:val="222222"/>
          <w:sz w:val="21"/>
          <w:szCs w:val="21"/>
        </w:rPr>
        <w:t xml:space="preserve">Secondary (SS) and Postsecondary/Collegiate (PSC); confirm Middle School availability in current guidelines</w:t>
      </w:r>
    </w:p>
    <w:p>
      <w:pPr>
        <w:pStyle w:val="Heading2"/>
        <w:spacing w:after="80" w:before="200"/>
      </w:pPr>
      <w:r>
        <w:rPr>
          <w:b/>
          <w:bCs/>
          <w:color w:val="2E74B5"/>
        </w:rPr>
        <w:t xml:space="preserve">Purpose</w:t>
      </w:r>
    </w:p>
    <w:p>
      <w:pPr>
        <w:spacing w:after="100"/>
      </w:pPr>
      <w:r>
        <w:rPr>
          <w:color w:val="222222"/>
          <w:sz w:val="21"/>
          <w:szCs w:val="21"/>
        </w:rPr>
        <w:t xml:space="preserve">Provides members the opportunity to gain knowledge of language common to all dental careers and specialties, including terminology, anatomy, physiology, and pathophysiology.</w:t>
      </w:r>
    </w:p>
    <w:p>
      <w:pPr>
        <w:pStyle w:val="Heading2"/>
        <w:spacing w:after="80" w:before="200"/>
      </w:pPr>
      <w:r>
        <w:rPr>
          <w:b/>
          <w:bCs/>
          <w:color w:val="2E74B5"/>
        </w:rPr>
        <w:t xml:space="preserve">Event Format</w:t>
      </w:r>
    </w:p>
    <w:p>
      <w:pPr>
        <w:spacing w:after="100"/>
      </w:pPr>
      <w:r>
        <w:rPr>
          <w:color w:val="222222"/>
          <w:sz w:val="21"/>
          <w:szCs w:val="21"/>
        </w:rPr>
        <w:t xml:space="preserve">Round One is a written, objective multiple-choice test taken at the qualifying (state/regional) conference. Top-scoring competitors advance to Round Two at the ILC, a second written test. Final placement is based on the Round Two score, with tie-breakers as specified.</w:t>
      </w:r>
    </w:p>
    <w:p>
      <w:pPr>
        <w:spacing w:after="60"/>
      </w:pPr>
      <w:r>
        <w:rPr>
          <w:b/>
          <w:bCs/>
          <w:color w:val="1F3864"/>
          <w:sz w:val="21"/>
          <w:szCs w:val="21"/>
        </w:rPr>
        <w:t xml:space="preserve">Typical test specifications: </w:t>
      </w:r>
      <w:r>
        <w:rPr>
          <w:color w:val="222222"/>
          <w:sz w:val="21"/>
          <w:szCs w:val="21"/>
        </w:rPr>
        <w:t xml:space="preserve">Commonly 100 multiple-choice questions in 90 minutes with a tie-breaker. Exact counts/timing are set yearly in the official guideline.</w:t>
      </w:r>
    </w:p>
    <w:p>
      <w:pPr>
        <w:pStyle w:val="Heading2"/>
        <w:spacing w:after="80" w:before="200"/>
      </w:pPr>
      <w:r>
        <w:rPr>
          <w:b/>
          <w:bCs/>
          <w:color w:val="2E74B5"/>
        </w:rPr>
        <w:t xml:space="preserve">Key Content / Topics</w:t>
      </w:r>
    </w:p>
    <w:p>
      <w:pPr>
        <w:pStyle w:val="ListParagraph"/>
        <w:numPr>
          <w:ilvl w:val="0"/>
          <w:numId w:val="1"/>
        </w:numPr>
        <w:spacing w:after="40"/>
      </w:pPr>
      <w:r>
        <w:rPr>
          <w:color w:val="222222"/>
          <w:sz w:val="21"/>
          <w:szCs w:val="21"/>
        </w:rPr>
        <w:t xml:space="preserve">Dental prefixes, suffixes, and word roots</w:t>
      </w:r>
    </w:p>
    <w:p>
      <w:pPr>
        <w:pStyle w:val="ListParagraph"/>
        <w:numPr>
          <w:ilvl w:val="0"/>
          <w:numId w:val="1"/>
        </w:numPr>
        <w:spacing w:after="40"/>
      </w:pPr>
      <w:r>
        <w:rPr>
          <w:color w:val="222222"/>
          <w:sz w:val="21"/>
          <w:szCs w:val="21"/>
        </w:rPr>
        <w:t xml:space="preserve">Tooth anatomy and numbering systems</w:t>
      </w:r>
    </w:p>
    <w:p>
      <w:pPr>
        <w:pStyle w:val="ListParagraph"/>
        <w:numPr>
          <w:ilvl w:val="0"/>
          <w:numId w:val="1"/>
        </w:numPr>
        <w:spacing w:after="40"/>
      </w:pPr>
      <w:r>
        <w:rPr>
          <w:color w:val="222222"/>
          <w:sz w:val="21"/>
          <w:szCs w:val="21"/>
        </w:rPr>
        <w:t xml:space="preserve">Oral anatomy and physiology</w:t>
      </w:r>
    </w:p>
    <w:p>
      <w:pPr>
        <w:pStyle w:val="ListParagraph"/>
        <w:numPr>
          <w:ilvl w:val="0"/>
          <w:numId w:val="1"/>
        </w:numPr>
        <w:spacing w:after="40"/>
      </w:pPr>
      <w:r>
        <w:rPr>
          <w:color w:val="222222"/>
          <w:sz w:val="21"/>
          <w:szCs w:val="21"/>
        </w:rPr>
        <w:t xml:space="preserve">Dental specialties and procedures</w:t>
      </w:r>
    </w:p>
    <w:p>
      <w:pPr>
        <w:pStyle w:val="ListParagraph"/>
        <w:numPr>
          <w:ilvl w:val="0"/>
          <w:numId w:val="1"/>
        </w:numPr>
        <w:spacing w:after="40"/>
      </w:pPr>
      <w:r>
        <w:rPr>
          <w:color w:val="222222"/>
          <w:sz w:val="21"/>
          <w:szCs w:val="21"/>
        </w:rPr>
        <w:t xml:space="preserve">Common oral diseases and conditions</w:t>
      </w:r>
    </w:p>
    <w:p>
      <w:pPr>
        <w:pStyle w:val="ListParagraph"/>
        <w:numPr>
          <w:ilvl w:val="0"/>
          <w:numId w:val="1"/>
        </w:numPr>
        <w:spacing w:after="40"/>
      </w:pPr>
      <w:r>
        <w:rPr>
          <w:color w:val="222222"/>
          <w:sz w:val="21"/>
          <w:szCs w:val="21"/>
        </w:rPr>
        <w:t xml:space="preserve">Dental instruments and materials</w:t>
      </w:r>
    </w:p>
    <w:p>
      <w:pPr>
        <w:pStyle w:val="Heading2"/>
        <w:spacing w:after="80" w:before="200"/>
      </w:pPr>
      <w:r>
        <w:rPr>
          <w:b/>
          <w:bCs/>
          <w:color w:val="2E74B5"/>
        </w:rPr>
        <w:t xml:space="preserve">Recommended References</w:t>
      </w:r>
    </w:p>
    <w:p>
      <w:pPr>
        <w:spacing w:after="100"/>
      </w:pPr>
      <w:r>
        <w:rPr>
          <w:color w:val="222222"/>
          <w:sz w:val="21"/>
          <w:szCs w:val="21"/>
        </w:rPr>
        <w:t xml:space="preserve">Dental terminology reference texts listed in the official event guidelines.</w:t>
      </w:r>
    </w:p>
    <w:p>
      <w:pPr>
        <w:pStyle w:val="Heading2"/>
        <w:spacing w:after="80" w:before="200"/>
      </w:pPr>
      <w:r>
        <w:rPr>
          <w:b/>
          <w:bCs/>
          <w:color w:val="2E74B5"/>
        </w:rPr>
        <w:t xml:space="preserve">Attire</w:t>
      </w:r>
    </w:p>
    <w:p>
      <w:pPr>
        <w:spacing w:after="100"/>
      </w:pPr>
      <w:r>
        <w:rPr>
          <w:color w:val="222222"/>
          <w:sz w:val="21"/>
          <w:szCs w:val="21"/>
        </w:rPr>
        <w:t xml:space="preserve">Official HOSA competition attire or appropriate business/uniform dress per the HOSA Dress Code (Appendix). Proper dress is required to receive awards.</w:t>
      </w:r>
    </w:p>
    <w:p>
      <w:pPr>
        <w:pStyle w:val="Heading2"/>
        <w:spacing w:after="80" w:before="200"/>
      </w:pPr>
      <w:r>
        <w:rPr>
          <w:b/>
          <w:bCs/>
          <w:color w:val="2E74B5"/>
        </w:rPr>
        <w:t xml:space="preserve">Scoring &amp; Tie-Breakers</w:t>
      </w:r>
    </w:p>
    <w:p>
      <w:pPr>
        <w:spacing w:after="100"/>
      </w:pPr>
      <w:r>
        <w:rPr>
          <w:color w:val="222222"/>
          <w:sz w:val="21"/>
          <w:szCs w:val="21"/>
        </w:rPr>
        <w:t xml:space="preserve">Scored on number of correct answers; a designated tie-breaker question or alternate-round score resolves ties.</w:t>
      </w:r>
    </w:p>
    <w:p>
      <w:pPr>
        <w:pStyle w:val="Heading2"/>
        <w:spacing w:after="80" w:before="200"/>
      </w:pPr>
      <w:r>
        <w:rPr>
          <w:b/>
          <w:bCs/>
          <w:color w:val="2E74B5"/>
        </w:rPr>
        <w:t xml:space="preserve">Preparation Tips</w:t>
      </w:r>
    </w:p>
    <w:p>
      <w:pPr>
        <w:pStyle w:val="ListParagraph"/>
        <w:numPr>
          <w:ilvl w:val="0"/>
          <w:numId w:val="1"/>
        </w:numPr>
        <w:spacing w:after="40"/>
      </w:pPr>
      <w:r>
        <w:rPr>
          <w:color w:val="222222"/>
          <w:sz w:val="21"/>
          <w:szCs w:val="21"/>
        </w:rPr>
        <w:t xml:space="preserve">Download the current official guideline PDF for this event and note the listed reference texts and editions.</w:t>
      </w:r>
    </w:p>
    <w:p>
      <w:pPr>
        <w:pStyle w:val="ListParagraph"/>
        <w:numPr>
          <w:ilvl w:val="0"/>
          <w:numId w:val="1"/>
        </w:numPr>
        <w:spacing w:after="40"/>
      </w:pPr>
      <w:r>
        <w:rPr>
          <w:color w:val="222222"/>
          <w:sz w:val="21"/>
          <w:szCs w:val="21"/>
        </w:rPr>
        <w:t xml:space="preserve">Build a study plan around the topic list above; use flashcards for terminology-heavy content.</w:t>
      </w:r>
    </w:p>
    <w:p>
      <w:pPr>
        <w:pStyle w:val="ListParagraph"/>
        <w:numPr>
          <w:ilvl w:val="0"/>
          <w:numId w:val="1"/>
        </w:numPr>
        <w:spacing w:after="40"/>
      </w:pPr>
      <w:r>
        <w:rPr>
          <w:color w:val="222222"/>
          <w:sz w:val="21"/>
          <w:szCs w:val="21"/>
        </w:rPr>
        <w:t xml:space="preserve">Take timed practice tests to build speed for the timed format.</w:t>
      </w:r>
    </w:p>
    <w:p>
      <w:pPr>
        <w:pStyle w:val="ListParagraph"/>
        <w:numPr>
          <w:ilvl w:val="0"/>
          <w:numId w:val="1"/>
        </w:numPr>
        <w:spacing w:after="40"/>
      </w:pPr>
      <w:r>
        <w:rPr>
          <w:color w:val="222222"/>
          <w:sz w:val="21"/>
          <w:szCs w:val="21"/>
        </w:rPr>
        <w:t xml:space="preserve">Study with a partner or team and quiz each other on high-yield topics.</w:t>
      </w:r>
    </w:p>
    <w:p>
      <w:pPr>
        <w:pStyle w:val="ListParagraph"/>
        <w:numPr>
          <w:ilvl w:val="0"/>
          <w:numId w:val="1"/>
        </w:numPr>
        <w:spacing w:after="40"/>
      </w:pPr>
      <w:r>
        <w:rPr>
          <w:color w:val="222222"/>
          <w:sz w:val="21"/>
          <w:szCs w:val="21"/>
        </w:rPr>
        <w:t xml:space="preserve">Review any released sample items and HOSA tip sheets.</w:t>
      </w:r>
    </w:p>
    <w:p>
      <w:r>
        <w:br w:type="page"/>
      </w:r>
    </w:p>
    <w:p>
      <w:pPr>
        <w:pStyle w:val="Heading1"/>
        <w:spacing w:after="120" w:before="240"/>
      </w:pPr>
      <w:r>
        <w:rPr>
          <w:b/>
          <w:bCs/>
          <w:color w:val="1F3864"/>
        </w:rPr>
        <w:t xml:space="preserve">4. Healthcare Administration</w:t>
      </w:r>
    </w:p>
    <w:p>
      <w:pPr>
        <w:spacing w:after="60"/>
      </w:pPr>
      <w:r>
        <w:rPr>
          <w:b/>
          <w:bCs/>
          <w:color w:val="1F3864"/>
          <w:sz w:val="21"/>
          <w:szCs w:val="21"/>
        </w:rPr>
        <w:t xml:space="preserve">Category: </w:t>
      </w:r>
      <w:r>
        <w:rPr>
          <w:color w:val="222222"/>
          <w:sz w:val="21"/>
          <w:szCs w:val="21"/>
        </w:rPr>
        <w:t xml:space="preserve">Health Science Event (knowledge test)</w:t>
      </w:r>
    </w:p>
    <w:p>
      <w:pPr>
        <w:spacing w:after="60"/>
      </w:pPr>
      <w:r>
        <w:rPr>
          <w:b/>
          <w:bCs/>
          <w:color w:val="1F3864"/>
          <w:sz w:val="21"/>
          <w:szCs w:val="21"/>
        </w:rPr>
        <w:t xml:space="preserve">Divisions: </w:t>
      </w:r>
      <w:r>
        <w:rPr>
          <w:color w:val="222222"/>
          <w:sz w:val="21"/>
          <w:szCs w:val="21"/>
        </w:rPr>
        <w:t xml:space="preserve">Secondary (SS) and Postsecondary/Collegiate (PSC); confirm Middle School availability in current guidelines</w:t>
      </w:r>
    </w:p>
    <w:p>
      <w:pPr>
        <w:pStyle w:val="Heading2"/>
        <w:spacing w:after="80" w:before="200"/>
      </w:pPr>
      <w:r>
        <w:rPr>
          <w:b/>
          <w:bCs/>
          <w:color w:val="2E74B5"/>
        </w:rPr>
        <w:t xml:space="preserve">Purpose</w:t>
      </w:r>
    </w:p>
    <w:p>
      <w:pPr>
        <w:spacing w:after="100"/>
      </w:pPr>
      <w:r>
        <w:rPr>
          <w:color w:val="222222"/>
          <w:sz w:val="21"/>
          <w:szCs w:val="21"/>
        </w:rPr>
        <w:t xml:space="preserve">Evaluates knowledge of the business, management, and operational side of healthcare organizations.</w:t>
      </w:r>
    </w:p>
    <w:p>
      <w:pPr>
        <w:pStyle w:val="Heading2"/>
        <w:spacing w:after="80" w:before="200"/>
      </w:pPr>
      <w:r>
        <w:rPr>
          <w:b/>
          <w:bCs/>
          <w:color w:val="2E74B5"/>
        </w:rPr>
        <w:t xml:space="preserve">Event Format</w:t>
      </w:r>
    </w:p>
    <w:p>
      <w:pPr>
        <w:spacing w:after="100"/>
      </w:pPr>
      <w:r>
        <w:rPr>
          <w:color w:val="222222"/>
          <w:sz w:val="21"/>
          <w:szCs w:val="21"/>
        </w:rPr>
        <w:t xml:space="preserve">Round One is a written, objective multiple-choice test taken at the qualifying (state/regional) conference. Top-scoring competitors advance to Round Two at the ILC, a second written test. Final placement is based on the Round Two score, with tie-breakers as specified.</w:t>
      </w:r>
    </w:p>
    <w:p>
      <w:pPr>
        <w:spacing w:after="60"/>
      </w:pPr>
      <w:r>
        <w:rPr>
          <w:b/>
          <w:bCs/>
          <w:color w:val="1F3864"/>
          <w:sz w:val="21"/>
          <w:szCs w:val="21"/>
        </w:rPr>
        <w:t xml:space="preserve">Typical test specifications: </w:t>
      </w:r>
      <w:r>
        <w:rPr>
          <w:color w:val="222222"/>
          <w:sz w:val="21"/>
          <w:szCs w:val="21"/>
        </w:rPr>
        <w:t xml:space="preserve">Commonly 100 multiple-choice questions in 90 minutes with a tie-breaker. Exact counts/timing are set yearly in the official guideline.</w:t>
      </w:r>
    </w:p>
    <w:p>
      <w:pPr>
        <w:pStyle w:val="Heading2"/>
        <w:spacing w:after="80" w:before="200"/>
      </w:pPr>
      <w:r>
        <w:rPr>
          <w:b/>
          <w:bCs/>
          <w:color w:val="2E74B5"/>
        </w:rPr>
        <w:t xml:space="preserve">Key Content / Topics</w:t>
      </w:r>
    </w:p>
    <w:p>
      <w:pPr>
        <w:pStyle w:val="ListParagraph"/>
        <w:numPr>
          <w:ilvl w:val="0"/>
          <w:numId w:val="1"/>
        </w:numPr>
        <w:spacing w:after="40"/>
      </w:pPr>
      <w:r>
        <w:rPr>
          <w:color w:val="222222"/>
          <w:sz w:val="21"/>
          <w:szCs w:val="21"/>
        </w:rPr>
        <w:t xml:space="preserve">Healthcare delivery systems and organizational structure</w:t>
      </w:r>
    </w:p>
    <w:p>
      <w:pPr>
        <w:pStyle w:val="ListParagraph"/>
        <w:numPr>
          <w:ilvl w:val="0"/>
          <w:numId w:val="1"/>
        </w:numPr>
        <w:spacing w:after="40"/>
      </w:pPr>
      <w:r>
        <w:rPr>
          <w:color w:val="222222"/>
          <w:sz w:val="21"/>
          <w:szCs w:val="21"/>
        </w:rPr>
        <w:t xml:space="preserve">Health policy, regulation, and compliance</w:t>
      </w:r>
    </w:p>
    <w:p>
      <w:pPr>
        <w:pStyle w:val="ListParagraph"/>
        <w:numPr>
          <w:ilvl w:val="0"/>
          <w:numId w:val="1"/>
        </w:numPr>
        <w:spacing w:after="40"/>
      </w:pPr>
      <w:r>
        <w:rPr>
          <w:color w:val="222222"/>
          <w:sz w:val="21"/>
          <w:szCs w:val="21"/>
        </w:rPr>
        <w:t xml:space="preserve">Finance, billing, reimbursement, and insurance</w:t>
      </w:r>
    </w:p>
    <w:p>
      <w:pPr>
        <w:pStyle w:val="ListParagraph"/>
        <w:numPr>
          <w:ilvl w:val="0"/>
          <w:numId w:val="1"/>
        </w:numPr>
        <w:spacing w:after="40"/>
      </w:pPr>
      <w:r>
        <w:rPr>
          <w:color w:val="222222"/>
          <w:sz w:val="21"/>
          <w:szCs w:val="21"/>
        </w:rPr>
        <w:t xml:space="preserve">Human resources and staffing</w:t>
      </w:r>
    </w:p>
    <w:p>
      <w:pPr>
        <w:pStyle w:val="ListParagraph"/>
        <w:numPr>
          <w:ilvl w:val="0"/>
          <w:numId w:val="1"/>
        </w:numPr>
        <w:spacing w:after="40"/>
      </w:pPr>
      <w:r>
        <w:rPr>
          <w:color w:val="222222"/>
          <w:sz w:val="21"/>
          <w:szCs w:val="21"/>
        </w:rPr>
        <w:t xml:space="preserve">Quality improvement and risk management</w:t>
      </w:r>
    </w:p>
    <w:p>
      <w:pPr>
        <w:pStyle w:val="ListParagraph"/>
        <w:numPr>
          <w:ilvl w:val="0"/>
          <w:numId w:val="1"/>
        </w:numPr>
        <w:spacing w:after="40"/>
      </w:pPr>
      <w:r>
        <w:rPr>
          <w:color w:val="222222"/>
          <w:sz w:val="21"/>
          <w:szCs w:val="21"/>
        </w:rPr>
        <w:t xml:space="preserve">Health information management and privacy (HIPAA)</w:t>
      </w:r>
    </w:p>
    <w:p>
      <w:pPr>
        <w:pStyle w:val="ListParagraph"/>
        <w:numPr>
          <w:ilvl w:val="0"/>
          <w:numId w:val="1"/>
        </w:numPr>
        <w:spacing w:after="40"/>
      </w:pPr>
      <w:r>
        <w:rPr>
          <w:color w:val="222222"/>
          <w:sz w:val="21"/>
          <w:szCs w:val="21"/>
        </w:rPr>
        <w:t xml:space="preserve">Leadership and ethics in administration</w:t>
      </w:r>
    </w:p>
    <w:p>
      <w:pPr>
        <w:pStyle w:val="Heading2"/>
        <w:spacing w:after="80" w:before="200"/>
      </w:pPr>
      <w:r>
        <w:rPr>
          <w:b/>
          <w:bCs/>
          <w:color w:val="2E74B5"/>
        </w:rPr>
        <w:t xml:space="preserve">Recommended References</w:t>
      </w:r>
    </w:p>
    <w:p>
      <w:pPr>
        <w:spacing w:after="100"/>
      </w:pPr>
      <w:r>
        <w:rPr>
          <w:color w:val="222222"/>
          <w:sz w:val="21"/>
          <w:szCs w:val="21"/>
        </w:rPr>
        <w:t xml:space="preserve">Healthcare administration / management texts identified in the official event guidelines.</w:t>
      </w:r>
    </w:p>
    <w:p>
      <w:pPr>
        <w:pStyle w:val="Heading2"/>
        <w:spacing w:after="80" w:before="200"/>
      </w:pPr>
      <w:r>
        <w:rPr>
          <w:b/>
          <w:bCs/>
          <w:color w:val="2E74B5"/>
        </w:rPr>
        <w:t xml:space="preserve">Attire</w:t>
      </w:r>
    </w:p>
    <w:p>
      <w:pPr>
        <w:spacing w:after="100"/>
      </w:pPr>
      <w:r>
        <w:rPr>
          <w:color w:val="222222"/>
          <w:sz w:val="21"/>
          <w:szCs w:val="21"/>
        </w:rPr>
        <w:t xml:space="preserve">Official HOSA competition attire or appropriate business/uniform dress per the HOSA Dress Code (Appendix). Proper dress is required to receive awards.</w:t>
      </w:r>
    </w:p>
    <w:p>
      <w:pPr>
        <w:pStyle w:val="Heading2"/>
        <w:spacing w:after="80" w:before="200"/>
      </w:pPr>
      <w:r>
        <w:rPr>
          <w:b/>
          <w:bCs/>
          <w:color w:val="2E74B5"/>
        </w:rPr>
        <w:t xml:space="preserve">Scoring &amp; Tie-Breakers</w:t>
      </w:r>
    </w:p>
    <w:p>
      <w:pPr>
        <w:spacing w:after="100"/>
      </w:pPr>
      <w:r>
        <w:rPr>
          <w:color w:val="222222"/>
          <w:sz w:val="21"/>
          <w:szCs w:val="21"/>
        </w:rPr>
        <w:t xml:space="preserve">Scored on number of correct answers; a designated tie-breaker question or alternate-round score resolves ties.</w:t>
      </w:r>
    </w:p>
    <w:p>
      <w:pPr>
        <w:pStyle w:val="Heading2"/>
        <w:spacing w:after="80" w:before="200"/>
      </w:pPr>
      <w:r>
        <w:rPr>
          <w:b/>
          <w:bCs/>
          <w:color w:val="2E74B5"/>
        </w:rPr>
        <w:t xml:space="preserve">Preparation Tips</w:t>
      </w:r>
    </w:p>
    <w:p>
      <w:pPr>
        <w:pStyle w:val="ListParagraph"/>
        <w:numPr>
          <w:ilvl w:val="0"/>
          <w:numId w:val="1"/>
        </w:numPr>
        <w:spacing w:after="40"/>
      </w:pPr>
      <w:r>
        <w:rPr>
          <w:color w:val="222222"/>
          <w:sz w:val="21"/>
          <w:szCs w:val="21"/>
        </w:rPr>
        <w:t xml:space="preserve">Download the current official guideline PDF for this event and note the listed reference texts and editions.</w:t>
      </w:r>
    </w:p>
    <w:p>
      <w:pPr>
        <w:pStyle w:val="ListParagraph"/>
        <w:numPr>
          <w:ilvl w:val="0"/>
          <w:numId w:val="1"/>
        </w:numPr>
        <w:spacing w:after="40"/>
      </w:pPr>
      <w:r>
        <w:rPr>
          <w:color w:val="222222"/>
          <w:sz w:val="21"/>
          <w:szCs w:val="21"/>
        </w:rPr>
        <w:t xml:space="preserve">Build a study plan around the topic list above; use flashcards for terminology-heavy content.</w:t>
      </w:r>
    </w:p>
    <w:p>
      <w:pPr>
        <w:pStyle w:val="ListParagraph"/>
        <w:numPr>
          <w:ilvl w:val="0"/>
          <w:numId w:val="1"/>
        </w:numPr>
        <w:spacing w:after="40"/>
      </w:pPr>
      <w:r>
        <w:rPr>
          <w:color w:val="222222"/>
          <w:sz w:val="21"/>
          <w:szCs w:val="21"/>
        </w:rPr>
        <w:t xml:space="preserve">Take timed practice tests to build speed for the timed format.</w:t>
      </w:r>
    </w:p>
    <w:p>
      <w:pPr>
        <w:pStyle w:val="ListParagraph"/>
        <w:numPr>
          <w:ilvl w:val="0"/>
          <w:numId w:val="1"/>
        </w:numPr>
        <w:spacing w:after="40"/>
      </w:pPr>
      <w:r>
        <w:rPr>
          <w:color w:val="222222"/>
          <w:sz w:val="21"/>
          <w:szCs w:val="21"/>
        </w:rPr>
        <w:t xml:space="preserve">Study with a partner or team and quiz each other on high-yield topics.</w:t>
      </w:r>
    </w:p>
    <w:p>
      <w:pPr>
        <w:pStyle w:val="ListParagraph"/>
        <w:numPr>
          <w:ilvl w:val="0"/>
          <w:numId w:val="1"/>
        </w:numPr>
        <w:spacing w:after="40"/>
      </w:pPr>
      <w:r>
        <w:rPr>
          <w:color w:val="222222"/>
          <w:sz w:val="21"/>
          <w:szCs w:val="21"/>
        </w:rPr>
        <w:t xml:space="preserve">Review any released sample items and HOSA tip sheets.</w:t>
      </w:r>
    </w:p>
    <w:p>
      <w:r>
        <w:br w:type="page"/>
      </w:r>
    </w:p>
    <w:p>
      <w:pPr>
        <w:pStyle w:val="Heading1"/>
        <w:spacing w:after="120" w:before="240"/>
      </w:pPr>
      <w:r>
        <w:rPr>
          <w:b/>
          <w:bCs/>
          <w:color w:val="1F3864"/>
        </w:rPr>
        <w:t xml:space="preserve">5. Health Informatics</w:t>
      </w:r>
    </w:p>
    <w:p>
      <w:pPr>
        <w:spacing w:after="60"/>
      </w:pPr>
      <w:r>
        <w:rPr>
          <w:b/>
          <w:bCs/>
          <w:color w:val="1F3864"/>
          <w:sz w:val="21"/>
          <w:szCs w:val="21"/>
        </w:rPr>
        <w:t xml:space="preserve">Category: </w:t>
      </w:r>
      <w:r>
        <w:rPr>
          <w:color w:val="222222"/>
          <w:sz w:val="21"/>
          <w:szCs w:val="21"/>
        </w:rPr>
        <w:t xml:space="preserve">Health Science Event (knowledge test)</w:t>
      </w:r>
    </w:p>
    <w:p>
      <w:pPr>
        <w:spacing w:after="60"/>
      </w:pPr>
      <w:r>
        <w:rPr>
          <w:b/>
          <w:bCs/>
          <w:color w:val="1F3864"/>
          <w:sz w:val="21"/>
          <w:szCs w:val="21"/>
        </w:rPr>
        <w:t xml:space="preserve">Divisions: </w:t>
      </w:r>
      <w:r>
        <w:rPr>
          <w:color w:val="222222"/>
          <w:sz w:val="21"/>
          <w:szCs w:val="21"/>
        </w:rPr>
        <w:t xml:space="preserve">Secondary (SS) and Postsecondary/Collegiate (PSC); confirm Middle School availability in current guidelines</w:t>
      </w:r>
    </w:p>
    <w:p>
      <w:pPr>
        <w:pStyle w:val="Heading2"/>
        <w:spacing w:after="80" w:before="200"/>
      </w:pPr>
      <w:r>
        <w:rPr>
          <w:b/>
          <w:bCs/>
          <w:color w:val="2E74B5"/>
        </w:rPr>
        <w:t xml:space="preserve">Purpose</w:t>
      </w:r>
    </w:p>
    <w:p>
      <w:pPr>
        <w:spacing w:after="100"/>
      </w:pPr>
      <w:r>
        <w:rPr>
          <w:color w:val="222222"/>
          <w:sz w:val="21"/>
          <w:szCs w:val="21"/>
        </w:rPr>
        <w:t xml:space="preserve">Assesses knowledge of information systems, data, and technology used to manage health information and support care.</w:t>
      </w:r>
    </w:p>
    <w:p>
      <w:pPr>
        <w:pStyle w:val="Heading2"/>
        <w:spacing w:after="80" w:before="200"/>
      </w:pPr>
      <w:r>
        <w:rPr>
          <w:b/>
          <w:bCs/>
          <w:color w:val="2E74B5"/>
        </w:rPr>
        <w:t xml:space="preserve">Event Format</w:t>
      </w:r>
    </w:p>
    <w:p>
      <w:pPr>
        <w:spacing w:after="100"/>
      </w:pPr>
      <w:r>
        <w:rPr>
          <w:color w:val="222222"/>
          <w:sz w:val="21"/>
          <w:szCs w:val="21"/>
        </w:rPr>
        <w:t xml:space="preserve">Round One is a written, objective multiple-choice test taken at the qualifying (state/regional) conference. Top-scoring competitors advance to Round Two at the ILC, a second written test. Final placement is based on the Round Two score, with tie-breakers as specified.</w:t>
      </w:r>
    </w:p>
    <w:p>
      <w:pPr>
        <w:spacing w:after="60"/>
      </w:pPr>
      <w:r>
        <w:rPr>
          <w:b/>
          <w:bCs/>
          <w:color w:val="1F3864"/>
          <w:sz w:val="21"/>
          <w:szCs w:val="21"/>
        </w:rPr>
        <w:t xml:space="preserve">Typical test specifications: </w:t>
      </w:r>
      <w:r>
        <w:rPr>
          <w:color w:val="222222"/>
          <w:sz w:val="21"/>
          <w:szCs w:val="21"/>
        </w:rPr>
        <w:t xml:space="preserve">Commonly 100 multiple-choice questions in 90 minutes with a tie-breaker. Exact counts/timing are set yearly in the official guideline.</w:t>
      </w:r>
    </w:p>
    <w:p>
      <w:pPr>
        <w:pStyle w:val="Heading2"/>
        <w:spacing w:after="80" w:before="200"/>
      </w:pPr>
      <w:r>
        <w:rPr>
          <w:b/>
          <w:bCs/>
          <w:color w:val="2E74B5"/>
        </w:rPr>
        <w:t xml:space="preserve">Key Content / Topics</w:t>
      </w:r>
    </w:p>
    <w:p>
      <w:pPr>
        <w:pStyle w:val="ListParagraph"/>
        <w:numPr>
          <w:ilvl w:val="0"/>
          <w:numId w:val="1"/>
        </w:numPr>
        <w:spacing w:after="40"/>
      </w:pPr>
      <w:r>
        <w:rPr>
          <w:color w:val="222222"/>
          <w:sz w:val="21"/>
          <w:szCs w:val="21"/>
        </w:rPr>
        <w:t xml:space="preserve">Electronic health records (EHR) and health information systems</w:t>
      </w:r>
    </w:p>
    <w:p>
      <w:pPr>
        <w:pStyle w:val="ListParagraph"/>
        <w:numPr>
          <w:ilvl w:val="0"/>
          <w:numId w:val="1"/>
        </w:numPr>
        <w:spacing w:after="40"/>
      </w:pPr>
      <w:r>
        <w:rPr>
          <w:color w:val="222222"/>
          <w:sz w:val="21"/>
          <w:szCs w:val="21"/>
        </w:rPr>
        <w:t xml:space="preserve">Health data standards, coding, and classification</w:t>
      </w:r>
    </w:p>
    <w:p>
      <w:pPr>
        <w:pStyle w:val="ListParagraph"/>
        <w:numPr>
          <w:ilvl w:val="0"/>
          <w:numId w:val="1"/>
        </w:numPr>
        <w:spacing w:after="40"/>
      </w:pPr>
      <w:r>
        <w:rPr>
          <w:color w:val="222222"/>
          <w:sz w:val="21"/>
          <w:szCs w:val="21"/>
        </w:rPr>
        <w:t xml:space="preserve">Data privacy, security, and HIPAA</w:t>
      </w:r>
    </w:p>
    <w:p>
      <w:pPr>
        <w:pStyle w:val="ListParagraph"/>
        <w:numPr>
          <w:ilvl w:val="0"/>
          <w:numId w:val="1"/>
        </w:numPr>
        <w:spacing w:after="40"/>
      </w:pPr>
      <w:r>
        <w:rPr>
          <w:color w:val="222222"/>
          <w:sz w:val="21"/>
          <w:szCs w:val="21"/>
        </w:rPr>
        <w:t xml:space="preserve">Data analytics and interoperability</w:t>
      </w:r>
    </w:p>
    <w:p>
      <w:pPr>
        <w:pStyle w:val="ListParagraph"/>
        <w:numPr>
          <w:ilvl w:val="0"/>
          <w:numId w:val="1"/>
        </w:numPr>
        <w:spacing w:after="40"/>
      </w:pPr>
      <w:r>
        <w:rPr>
          <w:color w:val="222222"/>
          <w:sz w:val="21"/>
          <w:szCs w:val="21"/>
        </w:rPr>
        <w:t xml:space="preserve">Clinical decision support</w:t>
      </w:r>
    </w:p>
    <w:p>
      <w:pPr>
        <w:pStyle w:val="ListParagraph"/>
        <w:numPr>
          <w:ilvl w:val="0"/>
          <w:numId w:val="1"/>
        </w:numPr>
        <w:spacing w:after="40"/>
      </w:pPr>
      <w:r>
        <w:rPr>
          <w:color w:val="222222"/>
          <w:sz w:val="21"/>
          <w:szCs w:val="21"/>
        </w:rPr>
        <w:t xml:space="preserve">Ethics and legal issues in health data</w:t>
      </w:r>
    </w:p>
    <w:p>
      <w:pPr>
        <w:pStyle w:val="Heading2"/>
        <w:spacing w:after="80" w:before="200"/>
      </w:pPr>
      <w:r>
        <w:rPr>
          <w:b/>
          <w:bCs/>
          <w:color w:val="2E74B5"/>
        </w:rPr>
        <w:t xml:space="preserve">Recommended References</w:t>
      </w:r>
    </w:p>
    <w:p>
      <w:pPr>
        <w:spacing w:after="100"/>
      </w:pPr>
      <w:r>
        <w:rPr>
          <w:color w:val="222222"/>
          <w:sz w:val="21"/>
          <w:szCs w:val="21"/>
        </w:rPr>
        <w:t xml:space="preserve">Health informatics reference texts listed in the official event guidelines.</w:t>
      </w:r>
    </w:p>
    <w:p>
      <w:pPr>
        <w:pStyle w:val="Heading2"/>
        <w:spacing w:after="80" w:before="200"/>
      </w:pPr>
      <w:r>
        <w:rPr>
          <w:b/>
          <w:bCs/>
          <w:color w:val="2E74B5"/>
        </w:rPr>
        <w:t xml:space="preserve">Attire</w:t>
      </w:r>
    </w:p>
    <w:p>
      <w:pPr>
        <w:spacing w:after="100"/>
      </w:pPr>
      <w:r>
        <w:rPr>
          <w:color w:val="222222"/>
          <w:sz w:val="21"/>
          <w:szCs w:val="21"/>
        </w:rPr>
        <w:t xml:space="preserve">Official HOSA competition attire or appropriate business/uniform dress per the HOSA Dress Code (Appendix). Proper dress is required to receive awards.</w:t>
      </w:r>
    </w:p>
    <w:p>
      <w:pPr>
        <w:pStyle w:val="Heading2"/>
        <w:spacing w:after="80" w:before="200"/>
      </w:pPr>
      <w:r>
        <w:rPr>
          <w:b/>
          <w:bCs/>
          <w:color w:val="2E74B5"/>
        </w:rPr>
        <w:t xml:space="preserve">Scoring &amp; Tie-Breakers</w:t>
      </w:r>
    </w:p>
    <w:p>
      <w:pPr>
        <w:spacing w:after="100"/>
      </w:pPr>
      <w:r>
        <w:rPr>
          <w:color w:val="222222"/>
          <w:sz w:val="21"/>
          <w:szCs w:val="21"/>
        </w:rPr>
        <w:t xml:space="preserve">Scored on number of correct answers; a designated tie-breaker question or alternate-round score resolves ties.</w:t>
      </w:r>
    </w:p>
    <w:p>
      <w:pPr>
        <w:pStyle w:val="Heading2"/>
        <w:spacing w:after="80" w:before="200"/>
      </w:pPr>
      <w:r>
        <w:rPr>
          <w:b/>
          <w:bCs/>
          <w:color w:val="2E74B5"/>
        </w:rPr>
        <w:t xml:space="preserve">Preparation Tips</w:t>
      </w:r>
    </w:p>
    <w:p>
      <w:pPr>
        <w:pStyle w:val="ListParagraph"/>
        <w:numPr>
          <w:ilvl w:val="0"/>
          <w:numId w:val="1"/>
        </w:numPr>
        <w:spacing w:after="40"/>
      </w:pPr>
      <w:r>
        <w:rPr>
          <w:color w:val="222222"/>
          <w:sz w:val="21"/>
          <w:szCs w:val="21"/>
        </w:rPr>
        <w:t xml:space="preserve">Download the current official guideline PDF for this event and note the listed reference texts and editions.</w:t>
      </w:r>
    </w:p>
    <w:p>
      <w:pPr>
        <w:pStyle w:val="ListParagraph"/>
        <w:numPr>
          <w:ilvl w:val="0"/>
          <w:numId w:val="1"/>
        </w:numPr>
        <w:spacing w:after="40"/>
      </w:pPr>
      <w:r>
        <w:rPr>
          <w:color w:val="222222"/>
          <w:sz w:val="21"/>
          <w:szCs w:val="21"/>
        </w:rPr>
        <w:t xml:space="preserve">Build a study plan around the topic list above; use flashcards for terminology-heavy content.</w:t>
      </w:r>
    </w:p>
    <w:p>
      <w:pPr>
        <w:pStyle w:val="ListParagraph"/>
        <w:numPr>
          <w:ilvl w:val="0"/>
          <w:numId w:val="1"/>
        </w:numPr>
        <w:spacing w:after="40"/>
      </w:pPr>
      <w:r>
        <w:rPr>
          <w:color w:val="222222"/>
          <w:sz w:val="21"/>
          <w:szCs w:val="21"/>
        </w:rPr>
        <w:t xml:space="preserve">Take timed practice tests to build speed for the timed format.</w:t>
      </w:r>
    </w:p>
    <w:p>
      <w:pPr>
        <w:pStyle w:val="ListParagraph"/>
        <w:numPr>
          <w:ilvl w:val="0"/>
          <w:numId w:val="1"/>
        </w:numPr>
        <w:spacing w:after="40"/>
      </w:pPr>
      <w:r>
        <w:rPr>
          <w:color w:val="222222"/>
          <w:sz w:val="21"/>
          <w:szCs w:val="21"/>
        </w:rPr>
        <w:t xml:space="preserve">Study with a partner or team and quiz each other on high-yield topics.</w:t>
      </w:r>
    </w:p>
    <w:p>
      <w:pPr>
        <w:pStyle w:val="ListParagraph"/>
        <w:numPr>
          <w:ilvl w:val="0"/>
          <w:numId w:val="1"/>
        </w:numPr>
        <w:spacing w:after="40"/>
      </w:pPr>
      <w:r>
        <w:rPr>
          <w:color w:val="222222"/>
          <w:sz w:val="21"/>
          <w:szCs w:val="21"/>
        </w:rPr>
        <w:t xml:space="preserve">Review any released sample items and HOSA tip sheets.</w:t>
      </w:r>
    </w:p>
    <w:p>
      <w:r>
        <w:br w:type="page"/>
      </w:r>
    </w:p>
    <w:p>
      <w:pPr>
        <w:pStyle w:val="Heading1"/>
        <w:spacing w:after="120" w:before="240"/>
      </w:pPr>
      <w:r>
        <w:rPr>
          <w:b/>
          <w:bCs/>
          <w:color w:val="1F3864"/>
        </w:rPr>
        <w:t xml:space="preserve">6. Human Growth &amp; Development</w:t>
      </w:r>
    </w:p>
    <w:p>
      <w:pPr>
        <w:spacing w:after="60"/>
      </w:pPr>
      <w:r>
        <w:rPr>
          <w:b/>
          <w:bCs/>
          <w:color w:val="1F3864"/>
          <w:sz w:val="21"/>
          <w:szCs w:val="21"/>
        </w:rPr>
        <w:t xml:space="preserve">Category: </w:t>
      </w:r>
      <w:r>
        <w:rPr>
          <w:color w:val="222222"/>
          <w:sz w:val="21"/>
          <w:szCs w:val="21"/>
        </w:rPr>
        <w:t xml:space="preserve">Health Science Event (knowledge test)</w:t>
      </w:r>
    </w:p>
    <w:p>
      <w:pPr>
        <w:spacing w:after="60"/>
      </w:pPr>
      <w:r>
        <w:rPr>
          <w:b/>
          <w:bCs/>
          <w:color w:val="1F3864"/>
          <w:sz w:val="21"/>
          <w:szCs w:val="21"/>
        </w:rPr>
        <w:t xml:space="preserve">Divisions: </w:t>
      </w:r>
      <w:r>
        <w:rPr>
          <w:color w:val="222222"/>
          <w:sz w:val="21"/>
          <w:szCs w:val="21"/>
        </w:rPr>
        <w:t xml:space="preserve">Secondary (SS) and Postsecondary/Collegiate (PSC); confirm Middle School availability in current guidelines</w:t>
      </w:r>
    </w:p>
    <w:p>
      <w:pPr>
        <w:pStyle w:val="Heading2"/>
        <w:spacing w:after="80" w:before="200"/>
      </w:pPr>
      <w:r>
        <w:rPr>
          <w:b/>
          <w:bCs/>
          <w:color w:val="2E74B5"/>
        </w:rPr>
        <w:t xml:space="preserve">Purpose</w:t>
      </w:r>
    </w:p>
    <w:p>
      <w:pPr>
        <w:spacing w:after="100"/>
      </w:pPr>
      <w:r>
        <w:rPr>
          <w:color w:val="222222"/>
          <w:sz w:val="21"/>
          <w:szCs w:val="21"/>
        </w:rPr>
        <w:t xml:space="preserve">Tests knowledge of physical, cognitive, emotional, and social development across the human lifespan.</w:t>
      </w:r>
    </w:p>
    <w:p>
      <w:pPr>
        <w:pStyle w:val="Heading2"/>
        <w:spacing w:after="80" w:before="200"/>
      </w:pPr>
      <w:r>
        <w:rPr>
          <w:b/>
          <w:bCs/>
          <w:color w:val="2E74B5"/>
        </w:rPr>
        <w:t xml:space="preserve">Event Format</w:t>
      </w:r>
    </w:p>
    <w:p>
      <w:pPr>
        <w:spacing w:after="100"/>
      </w:pPr>
      <w:r>
        <w:rPr>
          <w:color w:val="222222"/>
          <w:sz w:val="21"/>
          <w:szCs w:val="21"/>
        </w:rPr>
        <w:t xml:space="preserve">Round One is a written, objective multiple-choice test taken at the qualifying (state/regional) conference. Top-scoring competitors advance to Round Two at the ILC, a second written test. Final placement is based on the Round Two score, with tie-breakers as specified.</w:t>
      </w:r>
    </w:p>
    <w:p>
      <w:pPr>
        <w:spacing w:after="60"/>
      </w:pPr>
      <w:r>
        <w:rPr>
          <w:b/>
          <w:bCs/>
          <w:color w:val="1F3864"/>
          <w:sz w:val="21"/>
          <w:szCs w:val="21"/>
        </w:rPr>
        <w:t xml:space="preserve">Typical test specifications: </w:t>
      </w:r>
      <w:r>
        <w:rPr>
          <w:color w:val="222222"/>
          <w:sz w:val="21"/>
          <w:szCs w:val="21"/>
        </w:rPr>
        <w:t xml:space="preserve">Commonly 100 multiple-choice questions in 90 minutes with a tie-breaker. Exact counts/timing are set yearly in the official guideline.</w:t>
      </w:r>
    </w:p>
    <w:p>
      <w:pPr>
        <w:pStyle w:val="Heading2"/>
        <w:spacing w:after="80" w:before="200"/>
      </w:pPr>
      <w:r>
        <w:rPr>
          <w:b/>
          <w:bCs/>
          <w:color w:val="2E74B5"/>
        </w:rPr>
        <w:t xml:space="preserve">Key Content / Topics</w:t>
      </w:r>
    </w:p>
    <w:p>
      <w:pPr>
        <w:pStyle w:val="ListParagraph"/>
        <w:numPr>
          <w:ilvl w:val="0"/>
          <w:numId w:val="1"/>
        </w:numPr>
        <w:spacing w:after="40"/>
      </w:pPr>
      <w:r>
        <w:rPr>
          <w:color w:val="222222"/>
          <w:sz w:val="21"/>
          <w:szCs w:val="21"/>
        </w:rPr>
        <w:t xml:space="preserve">Stages of development from prenatal through late adulthood</w:t>
      </w:r>
    </w:p>
    <w:p>
      <w:pPr>
        <w:pStyle w:val="ListParagraph"/>
        <w:numPr>
          <w:ilvl w:val="0"/>
          <w:numId w:val="1"/>
        </w:numPr>
        <w:spacing w:after="40"/>
      </w:pPr>
      <w:r>
        <w:rPr>
          <w:color w:val="222222"/>
          <w:sz w:val="21"/>
          <w:szCs w:val="21"/>
        </w:rPr>
        <w:t xml:space="preserve">Physical and motor development</w:t>
      </w:r>
    </w:p>
    <w:p>
      <w:pPr>
        <w:pStyle w:val="ListParagraph"/>
        <w:numPr>
          <w:ilvl w:val="0"/>
          <w:numId w:val="1"/>
        </w:numPr>
        <w:spacing w:after="40"/>
      </w:pPr>
      <w:r>
        <w:rPr>
          <w:color w:val="222222"/>
          <w:sz w:val="21"/>
          <w:szCs w:val="21"/>
        </w:rPr>
        <w:t xml:space="preserve">Cognitive theories (Piaget) and language development</w:t>
      </w:r>
    </w:p>
    <w:p>
      <w:pPr>
        <w:pStyle w:val="ListParagraph"/>
        <w:numPr>
          <w:ilvl w:val="0"/>
          <w:numId w:val="1"/>
        </w:numPr>
        <w:spacing w:after="40"/>
      </w:pPr>
      <w:r>
        <w:rPr>
          <w:color w:val="222222"/>
          <w:sz w:val="21"/>
          <w:szCs w:val="21"/>
        </w:rPr>
        <w:t xml:space="preserve">Psychosocial theories (Erikson)</w:t>
      </w:r>
    </w:p>
    <w:p>
      <w:pPr>
        <w:pStyle w:val="ListParagraph"/>
        <w:numPr>
          <w:ilvl w:val="0"/>
          <w:numId w:val="1"/>
        </w:numPr>
        <w:spacing w:after="40"/>
      </w:pPr>
      <w:r>
        <w:rPr>
          <w:color w:val="222222"/>
          <w:sz w:val="21"/>
          <w:szCs w:val="21"/>
        </w:rPr>
        <w:t xml:space="preserve">Social and emotional development</w:t>
      </w:r>
    </w:p>
    <w:p>
      <w:pPr>
        <w:pStyle w:val="ListParagraph"/>
        <w:numPr>
          <w:ilvl w:val="0"/>
          <w:numId w:val="1"/>
        </w:numPr>
        <w:spacing w:after="40"/>
      </w:pPr>
      <w:r>
        <w:rPr>
          <w:color w:val="222222"/>
          <w:sz w:val="21"/>
          <w:szCs w:val="21"/>
        </w:rPr>
        <w:t xml:space="preserve">Aging, end-of-life, and death</w:t>
      </w:r>
    </w:p>
    <w:p>
      <w:pPr>
        <w:pStyle w:val="ListParagraph"/>
        <w:numPr>
          <w:ilvl w:val="0"/>
          <w:numId w:val="1"/>
        </w:numPr>
        <w:spacing w:after="40"/>
      </w:pPr>
      <w:r>
        <w:rPr>
          <w:color w:val="222222"/>
          <w:sz w:val="21"/>
          <w:szCs w:val="21"/>
        </w:rPr>
        <w:t xml:space="preserve">Factors influencing development (heredity, environment)</w:t>
      </w:r>
    </w:p>
    <w:p>
      <w:pPr>
        <w:pStyle w:val="Heading2"/>
        <w:spacing w:after="80" w:before="200"/>
      </w:pPr>
      <w:r>
        <w:rPr>
          <w:b/>
          <w:bCs/>
          <w:color w:val="2E74B5"/>
        </w:rPr>
        <w:t xml:space="preserve">Recommended References</w:t>
      </w:r>
    </w:p>
    <w:p>
      <w:pPr>
        <w:spacing w:after="100"/>
      </w:pPr>
      <w:r>
        <w:rPr>
          <w:color w:val="222222"/>
          <w:sz w:val="21"/>
          <w:szCs w:val="21"/>
        </w:rPr>
        <w:t xml:space="preserve">Human growth and development / lifespan texts identified in the official event guidelines.</w:t>
      </w:r>
    </w:p>
    <w:p>
      <w:pPr>
        <w:pStyle w:val="Heading2"/>
        <w:spacing w:after="80" w:before="200"/>
      </w:pPr>
      <w:r>
        <w:rPr>
          <w:b/>
          <w:bCs/>
          <w:color w:val="2E74B5"/>
        </w:rPr>
        <w:t xml:space="preserve">Attire</w:t>
      </w:r>
    </w:p>
    <w:p>
      <w:pPr>
        <w:spacing w:after="100"/>
      </w:pPr>
      <w:r>
        <w:rPr>
          <w:color w:val="222222"/>
          <w:sz w:val="21"/>
          <w:szCs w:val="21"/>
        </w:rPr>
        <w:t xml:space="preserve">Official HOSA competition attire or appropriate business/uniform dress per the HOSA Dress Code (Appendix). Proper dress is required to receive awards.</w:t>
      </w:r>
    </w:p>
    <w:p>
      <w:pPr>
        <w:pStyle w:val="Heading2"/>
        <w:spacing w:after="80" w:before="200"/>
      </w:pPr>
      <w:r>
        <w:rPr>
          <w:b/>
          <w:bCs/>
          <w:color w:val="2E74B5"/>
        </w:rPr>
        <w:t xml:space="preserve">Scoring &amp; Tie-Breakers</w:t>
      </w:r>
    </w:p>
    <w:p>
      <w:pPr>
        <w:spacing w:after="100"/>
      </w:pPr>
      <w:r>
        <w:rPr>
          <w:color w:val="222222"/>
          <w:sz w:val="21"/>
          <w:szCs w:val="21"/>
        </w:rPr>
        <w:t xml:space="preserve">Scored on number of correct answers; a designated tie-breaker question or alternate-round score resolves ties.</w:t>
      </w:r>
    </w:p>
    <w:p>
      <w:pPr>
        <w:pStyle w:val="Heading2"/>
        <w:spacing w:after="80" w:before="200"/>
      </w:pPr>
      <w:r>
        <w:rPr>
          <w:b/>
          <w:bCs/>
          <w:color w:val="2E74B5"/>
        </w:rPr>
        <w:t xml:space="preserve">Preparation Tips</w:t>
      </w:r>
    </w:p>
    <w:p>
      <w:pPr>
        <w:pStyle w:val="ListParagraph"/>
        <w:numPr>
          <w:ilvl w:val="0"/>
          <w:numId w:val="1"/>
        </w:numPr>
        <w:spacing w:after="40"/>
      </w:pPr>
      <w:r>
        <w:rPr>
          <w:color w:val="222222"/>
          <w:sz w:val="21"/>
          <w:szCs w:val="21"/>
        </w:rPr>
        <w:t xml:space="preserve">Download the current official guideline PDF for this event and note the listed reference texts and editions.</w:t>
      </w:r>
    </w:p>
    <w:p>
      <w:pPr>
        <w:pStyle w:val="ListParagraph"/>
        <w:numPr>
          <w:ilvl w:val="0"/>
          <w:numId w:val="1"/>
        </w:numPr>
        <w:spacing w:after="40"/>
      </w:pPr>
      <w:r>
        <w:rPr>
          <w:color w:val="222222"/>
          <w:sz w:val="21"/>
          <w:szCs w:val="21"/>
        </w:rPr>
        <w:t xml:space="preserve">Build a study plan around the topic list above; use flashcards for terminology-heavy content.</w:t>
      </w:r>
    </w:p>
    <w:p>
      <w:pPr>
        <w:pStyle w:val="ListParagraph"/>
        <w:numPr>
          <w:ilvl w:val="0"/>
          <w:numId w:val="1"/>
        </w:numPr>
        <w:spacing w:after="40"/>
      </w:pPr>
      <w:r>
        <w:rPr>
          <w:color w:val="222222"/>
          <w:sz w:val="21"/>
          <w:szCs w:val="21"/>
        </w:rPr>
        <w:t xml:space="preserve">Take timed practice tests to build speed for the timed format.</w:t>
      </w:r>
    </w:p>
    <w:p>
      <w:pPr>
        <w:pStyle w:val="ListParagraph"/>
        <w:numPr>
          <w:ilvl w:val="0"/>
          <w:numId w:val="1"/>
        </w:numPr>
        <w:spacing w:after="40"/>
      </w:pPr>
      <w:r>
        <w:rPr>
          <w:color w:val="222222"/>
          <w:sz w:val="21"/>
          <w:szCs w:val="21"/>
        </w:rPr>
        <w:t xml:space="preserve">Study with a partner or team and quiz each other on high-yield topics.</w:t>
      </w:r>
    </w:p>
    <w:p>
      <w:pPr>
        <w:pStyle w:val="ListParagraph"/>
        <w:numPr>
          <w:ilvl w:val="0"/>
          <w:numId w:val="1"/>
        </w:numPr>
        <w:spacing w:after="40"/>
      </w:pPr>
      <w:r>
        <w:rPr>
          <w:color w:val="222222"/>
          <w:sz w:val="21"/>
          <w:szCs w:val="21"/>
        </w:rPr>
        <w:t xml:space="preserve">Review any released sample items and HOSA tip sheets.</w:t>
      </w:r>
    </w:p>
    <w:p>
      <w:r>
        <w:br w:type="page"/>
      </w:r>
    </w:p>
    <w:p>
      <w:pPr>
        <w:pStyle w:val="Heading1"/>
        <w:spacing w:after="120" w:before="240"/>
      </w:pPr>
      <w:r>
        <w:rPr>
          <w:b/>
          <w:bCs/>
          <w:color w:val="1F3864"/>
        </w:rPr>
        <w:t xml:space="preserve">7. Medical Law and Ethics</w:t>
      </w:r>
    </w:p>
    <w:p>
      <w:pPr>
        <w:spacing w:after="60"/>
      </w:pPr>
      <w:r>
        <w:rPr>
          <w:b/>
          <w:bCs/>
          <w:color w:val="1F3864"/>
          <w:sz w:val="21"/>
          <w:szCs w:val="21"/>
        </w:rPr>
        <w:t xml:space="preserve">Category: </w:t>
      </w:r>
      <w:r>
        <w:rPr>
          <w:color w:val="222222"/>
          <w:sz w:val="21"/>
          <w:szCs w:val="21"/>
        </w:rPr>
        <w:t xml:space="preserve">Health Science Event (knowledge test)</w:t>
      </w:r>
    </w:p>
    <w:p>
      <w:pPr>
        <w:spacing w:after="60"/>
      </w:pPr>
      <w:r>
        <w:rPr>
          <w:b/>
          <w:bCs/>
          <w:color w:val="1F3864"/>
          <w:sz w:val="21"/>
          <w:szCs w:val="21"/>
        </w:rPr>
        <w:t xml:space="preserve">Divisions: </w:t>
      </w:r>
      <w:r>
        <w:rPr>
          <w:color w:val="222222"/>
          <w:sz w:val="21"/>
          <w:szCs w:val="21"/>
        </w:rPr>
        <w:t xml:space="preserve">Secondary (SS) and Postsecondary/Collegiate (PSC); confirm Middle School availability in current guidelines</w:t>
      </w:r>
    </w:p>
    <w:p>
      <w:pPr>
        <w:pStyle w:val="Heading2"/>
        <w:spacing w:after="80" w:before="200"/>
      </w:pPr>
      <w:r>
        <w:rPr>
          <w:b/>
          <w:bCs/>
          <w:color w:val="2E74B5"/>
        </w:rPr>
        <w:t xml:space="preserve">Purpose</w:t>
      </w:r>
    </w:p>
    <w:p>
      <w:pPr>
        <w:spacing w:after="100"/>
      </w:pPr>
      <w:r>
        <w:rPr>
          <w:color w:val="222222"/>
          <w:sz w:val="21"/>
          <w:szCs w:val="21"/>
        </w:rPr>
        <w:t xml:space="preserve">Evaluates understanding of the legal and ethical principles that govern healthcare practice.</w:t>
      </w:r>
    </w:p>
    <w:p>
      <w:pPr>
        <w:pStyle w:val="Heading2"/>
        <w:spacing w:after="80" w:before="200"/>
      </w:pPr>
      <w:r>
        <w:rPr>
          <w:b/>
          <w:bCs/>
          <w:color w:val="2E74B5"/>
        </w:rPr>
        <w:t xml:space="preserve">Event Format</w:t>
      </w:r>
    </w:p>
    <w:p>
      <w:pPr>
        <w:spacing w:after="100"/>
      </w:pPr>
      <w:r>
        <w:rPr>
          <w:color w:val="222222"/>
          <w:sz w:val="21"/>
          <w:szCs w:val="21"/>
        </w:rPr>
        <w:t xml:space="preserve">Round One is a written, objective multiple-choice test taken at the qualifying (state/regional) conference. Top-scoring competitors advance to Round Two at the ILC, a second written test. Final placement is based on the Round Two score, with tie-breakers as specified.</w:t>
      </w:r>
    </w:p>
    <w:p>
      <w:pPr>
        <w:spacing w:after="60"/>
      </w:pPr>
      <w:r>
        <w:rPr>
          <w:b/>
          <w:bCs/>
          <w:color w:val="1F3864"/>
          <w:sz w:val="21"/>
          <w:szCs w:val="21"/>
        </w:rPr>
        <w:t xml:space="preserve">Typical test specifications: </w:t>
      </w:r>
      <w:r>
        <w:rPr>
          <w:color w:val="222222"/>
          <w:sz w:val="21"/>
          <w:szCs w:val="21"/>
        </w:rPr>
        <w:t xml:space="preserve">Commonly 100 multiple-choice questions in 90 minutes with a tie-breaker. Exact counts/timing are set yearly in the official guideline.</w:t>
      </w:r>
    </w:p>
    <w:p>
      <w:pPr>
        <w:pStyle w:val="Heading2"/>
        <w:spacing w:after="80" w:before="200"/>
      </w:pPr>
      <w:r>
        <w:rPr>
          <w:b/>
          <w:bCs/>
          <w:color w:val="2E74B5"/>
        </w:rPr>
        <w:t xml:space="preserve">Key Content / Topics</w:t>
      </w:r>
    </w:p>
    <w:p>
      <w:pPr>
        <w:pStyle w:val="ListParagraph"/>
        <w:numPr>
          <w:ilvl w:val="0"/>
          <w:numId w:val="1"/>
        </w:numPr>
        <w:spacing w:after="40"/>
      </w:pPr>
      <w:r>
        <w:rPr>
          <w:color w:val="222222"/>
          <w:sz w:val="21"/>
          <w:szCs w:val="21"/>
        </w:rPr>
        <w:t xml:space="preserve">Sources of law and the legal system</w:t>
      </w:r>
    </w:p>
    <w:p>
      <w:pPr>
        <w:pStyle w:val="ListParagraph"/>
        <w:numPr>
          <w:ilvl w:val="0"/>
          <w:numId w:val="1"/>
        </w:numPr>
        <w:spacing w:after="40"/>
      </w:pPr>
      <w:r>
        <w:rPr>
          <w:color w:val="222222"/>
          <w:sz w:val="21"/>
          <w:szCs w:val="21"/>
        </w:rPr>
        <w:t xml:space="preserve">Patient rights, consent, and confidentiality</w:t>
      </w:r>
    </w:p>
    <w:p>
      <w:pPr>
        <w:pStyle w:val="ListParagraph"/>
        <w:numPr>
          <w:ilvl w:val="0"/>
          <w:numId w:val="1"/>
        </w:numPr>
        <w:spacing w:after="40"/>
      </w:pPr>
      <w:r>
        <w:rPr>
          <w:color w:val="222222"/>
          <w:sz w:val="21"/>
          <w:szCs w:val="21"/>
        </w:rPr>
        <w:t xml:space="preserve">Malpractice, negligence, and liability</w:t>
      </w:r>
    </w:p>
    <w:p>
      <w:pPr>
        <w:pStyle w:val="ListParagraph"/>
        <w:numPr>
          <w:ilvl w:val="0"/>
          <w:numId w:val="1"/>
        </w:numPr>
        <w:spacing w:after="40"/>
      </w:pPr>
      <w:r>
        <w:rPr>
          <w:color w:val="222222"/>
          <w:sz w:val="21"/>
          <w:szCs w:val="21"/>
        </w:rPr>
        <w:t xml:space="preserve">Ethical principles (autonomy, beneficence, justice)</w:t>
      </w:r>
    </w:p>
    <w:p>
      <w:pPr>
        <w:pStyle w:val="ListParagraph"/>
        <w:numPr>
          <w:ilvl w:val="0"/>
          <w:numId w:val="1"/>
        </w:numPr>
        <w:spacing w:after="40"/>
      </w:pPr>
      <w:r>
        <w:rPr>
          <w:color w:val="222222"/>
          <w:sz w:val="21"/>
          <w:szCs w:val="21"/>
        </w:rPr>
        <w:t xml:space="preserve">Advance directives and end-of-life issues</w:t>
      </w:r>
    </w:p>
    <w:p>
      <w:pPr>
        <w:pStyle w:val="ListParagraph"/>
        <w:numPr>
          <w:ilvl w:val="0"/>
          <w:numId w:val="1"/>
        </w:numPr>
        <w:spacing w:after="40"/>
      </w:pPr>
      <w:r>
        <w:rPr>
          <w:color w:val="222222"/>
          <w:sz w:val="21"/>
          <w:szCs w:val="21"/>
        </w:rPr>
        <w:t xml:space="preserve">HIPAA and privacy regulations</w:t>
      </w:r>
    </w:p>
    <w:p>
      <w:pPr>
        <w:pStyle w:val="ListParagraph"/>
        <w:numPr>
          <w:ilvl w:val="0"/>
          <w:numId w:val="1"/>
        </w:numPr>
        <w:spacing w:after="40"/>
      </w:pPr>
      <w:r>
        <w:rPr>
          <w:color w:val="222222"/>
          <w:sz w:val="21"/>
          <w:szCs w:val="21"/>
        </w:rPr>
        <w:t xml:space="preserve">Professional standards and scope of practice</w:t>
      </w:r>
    </w:p>
    <w:p>
      <w:pPr>
        <w:pStyle w:val="Heading2"/>
        <w:spacing w:after="80" w:before="200"/>
      </w:pPr>
      <w:r>
        <w:rPr>
          <w:b/>
          <w:bCs/>
          <w:color w:val="2E74B5"/>
        </w:rPr>
        <w:t xml:space="preserve">Recommended References</w:t>
      </w:r>
    </w:p>
    <w:p>
      <w:pPr>
        <w:spacing w:after="100"/>
      </w:pPr>
      <w:r>
        <w:rPr>
          <w:color w:val="222222"/>
          <w:sz w:val="21"/>
          <w:szCs w:val="21"/>
        </w:rPr>
        <w:t xml:space="preserve">Medical law and ethics texts listed in the official event guidelines.</w:t>
      </w:r>
    </w:p>
    <w:p>
      <w:pPr>
        <w:pStyle w:val="Heading2"/>
        <w:spacing w:after="80" w:before="200"/>
      </w:pPr>
      <w:r>
        <w:rPr>
          <w:b/>
          <w:bCs/>
          <w:color w:val="2E74B5"/>
        </w:rPr>
        <w:t xml:space="preserve">Attire</w:t>
      </w:r>
    </w:p>
    <w:p>
      <w:pPr>
        <w:spacing w:after="100"/>
      </w:pPr>
      <w:r>
        <w:rPr>
          <w:color w:val="222222"/>
          <w:sz w:val="21"/>
          <w:szCs w:val="21"/>
        </w:rPr>
        <w:t xml:space="preserve">Official HOSA competition attire or appropriate business/uniform dress per the HOSA Dress Code (Appendix). Proper dress is required to receive awards.</w:t>
      </w:r>
    </w:p>
    <w:p>
      <w:pPr>
        <w:pStyle w:val="Heading2"/>
        <w:spacing w:after="80" w:before="200"/>
      </w:pPr>
      <w:r>
        <w:rPr>
          <w:b/>
          <w:bCs/>
          <w:color w:val="2E74B5"/>
        </w:rPr>
        <w:t xml:space="preserve">Scoring &amp; Tie-Breakers</w:t>
      </w:r>
    </w:p>
    <w:p>
      <w:pPr>
        <w:spacing w:after="100"/>
      </w:pPr>
      <w:r>
        <w:rPr>
          <w:color w:val="222222"/>
          <w:sz w:val="21"/>
          <w:szCs w:val="21"/>
        </w:rPr>
        <w:t xml:space="preserve">Scored on number of correct answers; a designated tie-breaker question or alternate-round score resolves ties.</w:t>
      </w:r>
    </w:p>
    <w:p>
      <w:pPr>
        <w:pStyle w:val="Heading2"/>
        <w:spacing w:after="80" w:before="200"/>
      </w:pPr>
      <w:r>
        <w:rPr>
          <w:b/>
          <w:bCs/>
          <w:color w:val="2E74B5"/>
        </w:rPr>
        <w:t xml:space="preserve">Preparation Tips</w:t>
      </w:r>
    </w:p>
    <w:p>
      <w:pPr>
        <w:pStyle w:val="ListParagraph"/>
        <w:numPr>
          <w:ilvl w:val="0"/>
          <w:numId w:val="1"/>
        </w:numPr>
        <w:spacing w:after="40"/>
      </w:pPr>
      <w:r>
        <w:rPr>
          <w:color w:val="222222"/>
          <w:sz w:val="21"/>
          <w:szCs w:val="21"/>
        </w:rPr>
        <w:t xml:space="preserve">Download the current official guideline PDF for this event and note the listed reference texts and editions.</w:t>
      </w:r>
    </w:p>
    <w:p>
      <w:pPr>
        <w:pStyle w:val="ListParagraph"/>
        <w:numPr>
          <w:ilvl w:val="0"/>
          <w:numId w:val="1"/>
        </w:numPr>
        <w:spacing w:after="40"/>
      </w:pPr>
      <w:r>
        <w:rPr>
          <w:color w:val="222222"/>
          <w:sz w:val="21"/>
          <w:szCs w:val="21"/>
        </w:rPr>
        <w:t xml:space="preserve">Build a study plan around the topic list above; use flashcards for terminology-heavy content.</w:t>
      </w:r>
    </w:p>
    <w:p>
      <w:pPr>
        <w:pStyle w:val="ListParagraph"/>
        <w:numPr>
          <w:ilvl w:val="0"/>
          <w:numId w:val="1"/>
        </w:numPr>
        <w:spacing w:after="40"/>
      </w:pPr>
      <w:r>
        <w:rPr>
          <w:color w:val="222222"/>
          <w:sz w:val="21"/>
          <w:szCs w:val="21"/>
        </w:rPr>
        <w:t xml:space="preserve">Take timed practice tests to build speed for the timed format.</w:t>
      </w:r>
    </w:p>
    <w:p>
      <w:pPr>
        <w:pStyle w:val="ListParagraph"/>
        <w:numPr>
          <w:ilvl w:val="0"/>
          <w:numId w:val="1"/>
        </w:numPr>
        <w:spacing w:after="40"/>
      </w:pPr>
      <w:r>
        <w:rPr>
          <w:color w:val="222222"/>
          <w:sz w:val="21"/>
          <w:szCs w:val="21"/>
        </w:rPr>
        <w:t xml:space="preserve">Study with a partner or team and quiz each other on high-yield topics.</w:t>
      </w:r>
    </w:p>
    <w:p>
      <w:pPr>
        <w:pStyle w:val="ListParagraph"/>
        <w:numPr>
          <w:ilvl w:val="0"/>
          <w:numId w:val="1"/>
        </w:numPr>
        <w:spacing w:after="40"/>
      </w:pPr>
      <w:r>
        <w:rPr>
          <w:color w:val="222222"/>
          <w:sz w:val="21"/>
          <w:szCs w:val="21"/>
        </w:rPr>
        <w:t xml:space="preserve">Review any released sample items and HOSA tip sheets.</w:t>
      </w:r>
    </w:p>
    <w:p>
      <w:r>
        <w:br w:type="page"/>
      </w:r>
    </w:p>
    <w:p>
      <w:pPr>
        <w:pStyle w:val="Heading1"/>
        <w:spacing w:after="120" w:before="240"/>
      </w:pPr>
      <w:r>
        <w:rPr>
          <w:b/>
          <w:bCs/>
          <w:color w:val="1F3864"/>
        </w:rPr>
        <w:t xml:space="preserve">8. Medical Math</w:t>
      </w:r>
    </w:p>
    <w:p>
      <w:pPr>
        <w:spacing w:after="60"/>
      </w:pPr>
      <w:r>
        <w:rPr>
          <w:b/>
          <w:bCs/>
          <w:color w:val="1F3864"/>
          <w:sz w:val="21"/>
          <w:szCs w:val="21"/>
        </w:rPr>
        <w:t xml:space="preserve">Category: </w:t>
      </w:r>
      <w:r>
        <w:rPr>
          <w:color w:val="222222"/>
          <w:sz w:val="21"/>
          <w:szCs w:val="21"/>
        </w:rPr>
        <w:t xml:space="preserve">Health Science Event (knowledge test)</w:t>
      </w:r>
    </w:p>
    <w:p>
      <w:pPr>
        <w:spacing w:after="60"/>
      </w:pPr>
      <w:r>
        <w:rPr>
          <w:b/>
          <w:bCs/>
          <w:color w:val="1F3864"/>
          <w:sz w:val="21"/>
          <w:szCs w:val="21"/>
        </w:rPr>
        <w:t xml:space="preserve">Divisions: </w:t>
      </w:r>
      <w:r>
        <w:rPr>
          <w:color w:val="222222"/>
          <w:sz w:val="21"/>
          <w:szCs w:val="21"/>
        </w:rPr>
        <w:t xml:space="preserve">Secondary (SS) and Postsecondary/Collegiate (PSC); confirm Middle School availability in current guidelines</w:t>
      </w:r>
    </w:p>
    <w:p>
      <w:pPr>
        <w:pStyle w:val="Heading2"/>
        <w:spacing w:after="80" w:before="200"/>
      </w:pPr>
      <w:r>
        <w:rPr>
          <w:b/>
          <w:bCs/>
          <w:color w:val="2E74B5"/>
        </w:rPr>
        <w:t xml:space="preserve">Purpose</w:t>
      </w:r>
    </w:p>
    <w:p>
      <w:pPr>
        <w:spacing w:after="100"/>
      </w:pPr>
      <w:r>
        <w:rPr>
          <w:color w:val="222222"/>
          <w:sz w:val="21"/>
          <w:szCs w:val="21"/>
        </w:rPr>
        <w:t xml:space="preserve">Assesses the mathematical skills used in healthcare, including calculations for dosages, conversions, and measurements.</w:t>
      </w:r>
    </w:p>
    <w:p>
      <w:pPr>
        <w:pStyle w:val="Heading2"/>
        <w:spacing w:after="80" w:before="200"/>
      </w:pPr>
      <w:r>
        <w:rPr>
          <w:b/>
          <w:bCs/>
          <w:color w:val="2E74B5"/>
        </w:rPr>
        <w:t xml:space="preserve">Event Format</w:t>
      </w:r>
    </w:p>
    <w:p>
      <w:pPr>
        <w:spacing w:after="100"/>
      </w:pPr>
      <w:r>
        <w:rPr>
          <w:color w:val="222222"/>
          <w:sz w:val="21"/>
          <w:szCs w:val="21"/>
        </w:rPr>
        <w:t xml:space="preserve">Round One is a written, objective multiple-choice test taken at the qualifying (state/regional) conference. Top-scoring competitors advance to Round Two at the ILC, a second written test. Final placement is based on the Round Two score, with tie-breakers as specified.</w:t>
      </w:r>
    </w:p>
    <w:p>
      <w:pPr>
        <w:spacing w:after="60"/>
      </w:pPr>
      <w:r>
        <w:rPr>
          <w:b/>
          <w:bCs/>
          <w:color w:val="1F3864"/>
          <w:sz w:val="21"/>
          <w:szCs w:val="21"/>
        </w:rPr>
        <w:t xml:space="preserve">Typical test specifications: </w:t>
      </w:r>
      <w:r>
        <w:rPr>
          <w:color w:val="222222"/>
          <w:sz w:val="21"/>
          <w:szCs w:val="21"/>
        </w:rPr>
        <w:t xml:space="preserve">Commonly 100 multiple-choice questions in 90 minutes with a tie-breaker. Exact counts/timing are set yearly in the official guideline.</w:t>
      </w:r>
    </w:p>
    <w:p>
      <w:pPr>
        <w:pStyle w:val="Heading2"/>
        <w:spacing w:after="80" w:before="200"/>
      </w:pPr>
      <w:r>
        <w:rPr>
          <w:b/>
          <w:bCs/>
          <w:color w:val="2E74B5"/>
        </w:rPr>
        <w:t xml:space="preserve">Key Content / Topics</w:t>
      </w:r>
    </w:p>
    <w:p>
      <w:pPr>
        <w:pStyle w:val="ListParagraph"/>
        <w:numPr>
          <w:ilvl w:val="0"/>
          <w:numId w:val="1"/>
        </w:numPr>
        <w:spacing w:after="40"/>
      </w:pPr>
      <w:r>
        <w:rPr>
          <w:color w:val="222222"/>
          <w:sz w:val="21"/>
          <w:szCs w:val="21"/>
        </w:rPr>
        <w:t xml:space="preserve">Fractions, decimals, ratios, and percentages</w:t>
      </w:r>
    </w:p>
    <w:p>
      <w:pPr>
        <w:pStyle w:val="ListParagraph"/>
        <w:numPr>
          <w:ilvl w:val="0"/>
          <w:numId w:val="1"/>
        </w:numPr>
        <w:spacing w:after="40"/>
      </w:pPr>
      <w:r>
        <w:rPr>
          <w:color w:val="222222"/>
          <w:sz w:val="21"/>
          <w:szCs w:val="21"/>
        </w:rPr>
        <w:t xml:space="preserve">Metric, household, and apothecary conversions</w:t>
      </w:r>
    </w:p>
    <w:p>
      <w:pPr>
        <w:pStyle w:val="ListParagraph"/>
        <w:numPr>
          <w:ilvl w:val="0"/>
          <w:numId w:val="1"/>
        </w:numPr>
        <w:spacing w:after="40"/>
      </w:pPr>
      <w:r>
        <w:rPr>
          <w:color w:val="222222"/>
          <w:sz w:val="21"/>
          <w:szCs w:val="21"/>
        </w:rPr>
        <w:t xml:space="preserve">Dosage and IV flow-rate calculations</w:t>
      </w:r>
    </w:p>
    <w:p>
      <w:pPr>
        <w:pStyle w:val="ListParagraph"/>
        <w:numPr>
          <w:ilvl w:val="0"/>
          <w:numId w:val="1"/>
        </w:numPr>
        <w:spacing w:after="40"/>
      </w:pPr>
      <w:r>
        <w:rPr>
          <w:color w:val="222222"/>
          <w:sz w:val="21"/>
          <w:szCs w:val="21"/>
        </w:rPr>
        <w:t xml:space="preserve">Military time and temperature conversions</w:t>
      </w:r>
    </w:p>
    <w:p>
      <w:pPr>
        <w:pStyle w:val="ListParagraph"/>
        <w:numPr>
          <w:ilvl w:val="0"/>
          <w:numId w:val="1"/>
        </w:numPr>
        <w:spacing w:after="40"/>
      </w:pPr>
      <w:r>
        <w:rPr>
          <w:color w:val="222222"/>
          <w:sz w:val="21"/>
          <w:szCs w:val="21"/>
        </w:rPr>
        <w:t xml:space="preserve">Roman numerals</w:t>
      </w:r>
    </w:p>
    <w:p>
      <w:pPr>
        <w:pStyle w:val="ListParagraph"/>
        <w:numPr>
          <w:ilvl w:val="0"/>
          <w:numId w:val="1"/>
        </w:numPr>
        <w:spacing w:after="40"/>
      </w:pPr>
      <w:r>
        <w:rPr>
          <w:color w:val="222222"/>
          <w:sz w:val="21"/>
          <w:szCs w:val="21"/>
        </w:rPr>
        <w:t xml:space="preserve">Basic statistics and interpreting data</w:t>
      </w:r>
    </w:p>
    <w:p>
      <w:pPr>
        <w:pStyle w:val="ListParagraph"/>
        <w:numPr>
          <w:ilvl w:val="0"/>
          <w:numId w:val="1"/>
        </w:numPr>
        <w:spacing w:after="40"/>
      </w:pPr>
      <w:r>
        <w:rPr>
          <w:color w:val="222222"/>
          <w:sz w:val="21"/>
          <w:szCs w:val="21"/>
        </w:rPr>
        <w:t xml:space="preserve">Rounding and accuracy in clinical math</w:t>
      </w:r>
    </w:p>
    <w:p>
      <w:pPr>
        <w:pStyle w:val="Heading2"/>
        <w:spacing w:after="80" w:before="200"/>
      </w:pPr>
      <w:r>
        <w:rPr>
          <w:b/>
          <w:bCs/>
          <w:color w:val="2E74B5"/>
        </w:rPr>
        <w:t xml:space="preserve">Recommended References</w:t>
      </w:r>
    </w:p>
    <w:p>
      <w:pPr>
        <w:spacing w:after="100"/>
      </w:pPr>
      <w:r>
        <w:rPr>
          <w:color w:val="222222"/>
          <w:sz w:val="21"/>
          <w:szCs w:val="21"/>
        </w:rPr>
        <w:t xml:space="preserve">Medical math / dosage-calculation texts identified in the official event guidelines. Calculators may be permitted per event rules.</w:t>
      </w:r>
    </w:p>
    <w:p>
      <w:pPr>
        <w:pStyle w:val="Heading2"/>
        <w:spacing w:after="80" w:before="200"/>
      </w:pPr>
      <w:r>
        <w:rPr>
          <w:b/>
          <w:bCs/>
          <w:color w:val="2E74B5"/>
        </w:rPr>
        <w:t xml:space="preserve">Attire</w:t>
      </w:r>
    </w:p>
    <w:p>
      <w:pPr>
        <w:spacing w:after="100"/>
      </w:pPr>
      <w:r>
        <w:rPr>
          <w:color w:val="222222"/>
          <w:sz w:val="21"/>
          <w:szCs w:val="21"/>
        </w:rPr>
        <w:t xml:space="preserve">Official HOSA competition attire or appropriate business/uniform dress per the HOSA Dress Code (Appendix). Proper dress is required to receive awards.</w:t>
      </w:r>
    </w:p>
    <w:p>
      <w:pPr>
        <w:pStyle w:val="Heading2"/>
        <w:spacing w:after="80" w:before="200"/>
      </w:pPr>
      <w:r>
        <w:rPr>
          <w:b/>
          <w:bCs/>
          <w:color w:val="2E74B5"/>
        </w:rPr>
        <w:t xml:space="preserve">Scoring &amp; Tie-Breakers</w:t>
      </w:r>
    </w:p>
    <w:p>
      <w:pPr>
        <w:spacing w:after="100"/>
      </w:pPr>
      <w:r>
        <w:rPr>
          <w:color w:val="222222"/>
          <w:sz w:val="21"/>
          <w:szCs w:val="21"/>
        </w:rPr>
        <w:t xml:space="preserve">Scored on number of correct answers; a designated tie-breaker question or alternate-round score resolves ties.</w:t>
      </w:r>
    </w:p>
    <w:p>
      <w:pPr>
        <w:pStyle w:val="Heading2"/>
        <w:spacing w:after="80" w:before="200"/>
      </w:pPr>
      <w:r>
        <w:rPr>
          <w:b/>
          <w:bCs/>
          <w:color w:val="2E74B5"/>
        </w:rPr>
        <w:t xml:space="preserve">Preparation Tips</w:t>
      </w:r>
    </w:p>
    <w:p>
      <w:pPr>
        <w:pStyle w:val="ListParagraph"/>
        <w:numPr>
          <w:ilvl w:val="0"/>
          <w:numId w:val="1"/>
        </w:numPr>
        <w:spacing w:after="40"/>
      </w:pPr>
      <w:r>
        <w:rPr>
          <w:color w:val="222222"/>
          <w:sz w:val="21"/>
          <w:szCs w:val="21"/>
        </w:rPr>
        <w:t xml:space="preserve">Download the current official guideline PDF for this event and note the listed reference texts and editions.</w:t>
      </w:r>
    </w:p>
    <w:p>
      <w:pPr>
        <w:pStyle w:val="ListParagraph"/>
        <w:numPr>
          <w:ilvl w:val="0"/>
          <w:numId w:val="1"/>
        </w:numPr>
        <w:spacing w:after="40"/>
      </w:pPr>
      <w:r>
        <w:rPr>
          <w:color w:val="222222"/>
          <w:sz w:val="21"/>
          <w:szCs w:val="21"/>
        </w:rPr>
        <w:t xml:space="preserve">Build a study plan around the topic list above; use flashcards for terminology-heavy content.</w:t>
      </w:r>
    </w:p>
    <w:p>
      <w:pPr>
        <w:pStyle w:val="ListParagraph"/>
        <w:numPr>
          <w:ilvl w:val="0"/>
          <w:numId w:val="1"/>
        </w:numPr>
        <w:spacing w:after="40"/>
      </w:pPr>
      <w:r>
        <w:rPr>
          <w:color w:val="222222"/>
          <w:sz w:val="21"/>
          <w:szCs w:val="21"/>
        </w:rPr>
        <w:t xml:space="preserve">Take timed practice tests to build speed for the timed format.</w:t>
      </w:r>
    </w:p>
    <w:p>
      <w:pPr>
        <w:pStyle w:val="ListParagraph"/>
        <w:numPr>
          <w:ilvl w:val="0"/>
          <w:numId w:val="1"/>
        </w:numPr>
        <w:spacing w:after="40"/>
      </w:pPr>
      <w:r>
        <w:rPr>
          <w:color w:val="222222"/>
          <w:sz w:val="21"/>
          <w:szCs w:val="21"/>
        </w:rPr>
        <w:t xml:space="preserve">Study with a partner or team and quiz each other on high-yield topics.</w:t>
      </w:r>
    </w:p>
    <w:p>
      <w:pPr>
        <w:pStyle w:val="ListParagraph"/>
        <w:numPr>
          <w:ilvl w:val="0"/>
          <w:numId w:val="1"/>
        </w:numPr>
        <w:spacing w:after="40"/>
      </w:pPr>
      <w:r>
        <w:rPr>
          <w:color w:val="222222"/>
          <w:sz w:val="21"/>
          <w:szCs w:val="21"/>
        </w:rPr>
        <w:t xml:space="preserve">Review any released sample items and HOSA tip sheets.</w:t>
      </w:r>
    </w:p>
    <w:p>
      <w:r>
        <w:br w:type="page"/>
      </w:r>
    </w:p>
    <w:p>
      <w:pPr>
        <w:pStyle w:val="Heading1"/>
        <w:spacing w:after="120" w:before="240"/>
      </w:pPr>
      <w:r>
        <w:rPr>
          <w:b/>
          <w:bCs/>
          <w:color w:val="1F3864"/>
        </w:rPr>
        <w:t xml:space="preserve">9. Medical Reading</w:t>
      </w:r>
    </w:p>
    <w:p>
      <w:pPr>
        <w:spacing w:after="60"/>
      </w:pPr>
      <w:r>
        <w:rPr>
          <w:b/>
          <w:bCs/>
          <w:color w:val="1F3864"/>
          <w:sz w:val="21"/>
          <w:szCs w:val="21"/>
        </w:rPr>
        <w:t xml:space="preserve">Category: </w:t>
      </w:r>
      <w:r>
        <w:rPr>
          <w:color w:val="222222"/>
          <w:sz w:val="21"/>
          <w:szCs w:val="21"/>
        </w:rPr>
        <w:t xml:space="preserve">Health Science Event (knowledge test)</w:t>
      </w:r>
    </w:p>
    <w:p>
      <w:pPr>
        <w:spacing w:after="60"/>
      </w:pPr>
      <w:r>
        <w:rPr>
          <w:b/>
          <w:bCs/>
          <w:color w:val="1F3864"/>
          <w:sz w:val="21"/>
          <w:szCs w:val="21"/>
        </w:rPr>
        <w:t xml:space="preserve">Divisions: </w:t>
      </w:r>
      <w:r>
        <w:rPr>
          <w:color w:val="222222"/>
          <w:sz w:val="21"/>
          <w:szCs w:val="21"/>
        </w:rPr>
        <w:t xml:space="preserve">Secondary (SS) and Postsecondary/Collegiate (PSC); confirm Middle School availability in current guidelines</w:t>
      </w:r>
    </w:p>
    <w:p>
      <w:pPr>
        <w:pStyle w:val="Heading2"/>
        <w:spacing w:after="80" w:before="200"/>
      </w:pPr>
      <w:r>
        <w:rPr>
          <w:b/>
          <w:bCs/>
          <w:color w:val="2E74B5"/>
        </w:rPr>
        <w:t xml:space="preserve">Purpose</w:t>
      </w:r>
    </w:p>
    <w:p>
      <w:pPr>
        <w:spacing w:after="100"/>
      </w:pPr>
      <w:r>
        <w:rPr>
          <w:color w:val="222222"/>
          <w:sz w:val="21"/>
          <w:szCs w:val="21"/>
        </w:rPr>
        <w:t xml:space="preserve">Tests reading comprehension and analysis of health-related literature selected for the event.</w:t>
      </w:r>
    </w:p>
    <w:p>
      <w:pPr>
        <w:pStyle w:val="Heading2"/>
        <w:spacing w:after="80" w:before="200"/>
      </w:pPr>
      <w:r>
        <w:rPr>
          <w:b/>
          <w:bCs/>
          <w:color w:val="2E74B5"/>
        </w:rPr>
        <w:t xml:space="preserve">Event Format</w:t>
      </w:r>
    </w:p>
    <w:p>
      <w:pPr>
        <w:spacing w:after="100"/>
      </w:pPr>
      <w:r>
        <w:rPr>
          <w:color w:val="222222"/>
          <w:sz w:val="21"/>
          <w:szCs w:val="21"/>
        </w:rPr>
        <w:t xml:space="preserve">Round One is a written, objective multiple-choice test taken at the qualifying (state/regional) conference. Top-scoring competitors advance to Round Two at the ILC, a second written test. Final placement is based on the Round Two score, with tie-breakers as specified.</w:t>
      </w:r>
    </w:p>
    <w:p>
      <w:pPr>
        <w:spacing w:after="60"/>
      </w:pPr>
      <w:r>
        <w:rPr>
          <w:b/>
          <w:bCs/>
          <w:color w:val="1F3864"/>
          <w:sz w:val="21"/>
          <w:szCs w:val="21"/>
        </w:rPr>
        <w:t xml:space="preserve">Typical test specifications: </w:t>
      </w:r>
      <w:r>
        <w:rPr>
          <w:color w:val="222222"/>
          <w:sz w:val="21"/>
          <w:szCs w:val="21"/>
        </w:rPr>
        <w:t xml:space="preserve">Commonly 100 multiple-choice questions in 90 minutes with a tie-breaker. Exact counts/timing are set yearly in the official guideline.</w:t>
      </w:r>
    </w:p>
    <w:p>
      <w:pPr>
        <w:pStyle w:val="Heading2"/>
        <w:spacing w:after="80" w:before="200"/>
      </w:pPr>
      <w:r>
        <w:rPr>
          <w:b/>
          <w:bCs/>
          <w:color w:val="2E74B5"/>
        </w:rPr>
        <w:t xml:space="preserve">Key Content / Topics</w:t>
      </w:r>
    </w:p>
    <w:p>
      <w:pPr>
        <w:pStyle w:val="ListParagraph"/>
        <w:numPr>
          <w:ilvl w:val="0"/>
          <w:numId w:val="1"/>
        </w:numPr>
        <w:spacing w:after="40"/>
      </w:pPr>
      <w:r>
        <w:rPr>
          <w:color w:val="222222"/>
          <w:sz w:val="21"/>
          <w:szCs w:val="21"/>
        </w:rPr>
        <w:t xml:space="preserve">Comprehension of the assigned reading selection(s)</w:t>
      </w:r>
    </w:p>
    <w:p>
      <w:pPr>
        <w:pStyle w:val="ListParagraph"/>
        <w:numPr>
          <w:ilvl w:val="0"/>
          <w:numId w:val="1"/>
        </w:numPr>
        <w:spacing w:after="40"/>
      </w:pPr>
      <w:r>
        <w:rPr>
          <w:color w:val="222222"/>
          <w:sz w:val="21"/>
          <w:szCs w:val="21"/>
        </w:rPr>
        <w:t xml:space="preserve">Author's purpose, themes, and main ideas</w:t>
      </w:r>
    </w:p>
    <w:p>
      <w:pPr>
        <w:pStyle w:val="ListParagraph"/>
        <w:numPr>
          <w:ilvl w:val="0"/>
          <w:numId w:val="1"/>
        </w:numPr>
        <w:spacing w:after="40"/>
      </w:pPr>
      <w:r>
        <w:rPr>
          <w:color w:val="222222"/>
          <w:sz w:val="21"/>
          <w:szCs w:val="21"/>
        </w:rPr>
        <w:t xml:space="preserve">Analysis of characters, events, and health concepts</w:t>
      </w:r>
    </w:p>
    <w:p>
      <w:pPr>
        <w:pStyle w:val="ListParagraph"/>
        <w:numPr>
          <w:ilvl w:val="0"/>
          <w:numId w:val="1"/>
        </w:numPr>
        <w:spacing w:after="40"/>
      </w:pPr>
      <w:r>
        <w:rPr>
          <w:color w:val="222222"/>
          <w:sz w:val="21"/>
          <w:szCs w:val="21"/>
        </w:rPr>
        <w:t xml:space="preserve">Vocabulary in context</w:t>
      </w:r>
    </w:p>
    <w:p>
      <w:pPr>
        <w:pStyle w:val="ListParagraph"/>
        <w:numPr>
          <w:ilvl w:val="0"/>
          <w:numId w:val="1"/>
        </w:numPr>
        <w:spacing w:after="40"/>
      </w:pPr>
      <w:r>
        <w:rPr>
          <w:color w:val="222222"/>
          <w:sz w:val="21"/>
          <w:szCs w:val="21"/>
        </w:rPr>
        <w:t xml:space="preserve">Application and inference from the text</w:t>
      </w:r>
    </w:p>
    <w:p>
      <w:pPr>
        <w:pStyle w:val="Heading2"/>
        <w:spacing w:after="80" w:before="200"/>
      </w:pPr>
      <w:r>
        <w:rPr>
          <w:b/>
          <w:bCs/>
          <w:color w:val="2E74B5"/>
        </w:rPr>
        <w:t xml:space="preserve">Recommended References</w:t>
      </w:r>
    </w:p>
    <w:p>
      <w:pPr>
        <w:spacing w:after="100"/>
      </w:pPr>
      <w:r>
        <w:rPr>
          <w:color w:val="222222"/>
          <w:sz w:val="21"/>
          <w:szCs w:val="21"/>
        </w:rPr>
        <w:t xml:space="preserve">The specific book(s) / reading list published for the current year in the official event guidelines.</w:t>
      </w:r>
    </w:p>
    <w:p>
      <w:pPr>
        <w:pStyle w:val="Heading2"/>
        <w:spacing w:after="80" w:before="200"/>
      </w:pPr>
      <w:r>
        <w:rPr>
          <w:b/>
          <w:bCs/>
          <w:color w:val="2E74B5"/>
        </w:rPr>
        <w:t xml:space="preserve">Attire</w:t>
      </w:r>
    </w:p>
    <w:p>
      <w:pPr>
        <w:spacing w:after="100"/>
      </w:pPr>
      <w:r>
        <w:rPr>
          <w:color w:val="222222"/>
          <w:sz w:val="21"/>
          <w:szCs w:val="21"/>
        </w:rPr>
        <w:t xml:space="preserve">Official HOSA competition attire or appropriate business/uniform dress per the HOSA Dress Code (Appendix). Proper dress is required to receive awards.</w:t>
      </w:r>
    </w:p>
    <w:p>
      <w:pPr>
        <w:pStyle w:val="Heading2"/>
        <w:spacing w:after="80" w:before="200"/>
      </w:pPr>
      <w:r>
        <w:rPr>
          <w:b/>
          <w:bCs/>
          <w:color w:val="2E74B5"/>
        </w:rPr>
        <w:t xml:space="preserve">Scoring &amp; Tie-Breakers</w:t>
      </w:r>
    </w:p>
    <w:p>
      <w:pPr>
        <w:spacing w:after="100"/>
      </w:pPr>
      <w:r>
        <w:rPr>
          <w:color w:val="222222"/>
          <w:sz w:val="21"/>
          <w:szCs w:val="21"/>
        </w:rPr>
        <w:t xml:space="preserve">Scored on number of correct answers; a designated tie-breaker question or alternate-round score resolves ties.</w:t>
      </w:r>
    </w:p>
    <w:p>
      <w:pPr>
        <w:pStyle w:val="Heading2"/>
        <w:spacing w:after="80" w:before="200"/>
      </w:pPr>
      <w:r>
        <w:rPr>
          <w:b/>
          <w:bCs/>
          <w:color w:val="2E74B5"/>
        </w:rPr>
        <w:t xml:space="preserve">Preparation Tips</w:t>
      </w:r>
    </w:p>
    <w:p>
      <w:pPr>
        <w:pStyle w:val="ListParagraph"/>
        <w:numPr>
          <w:ilvl w:val="0"/>
          <w:numId w:val="1"/>
        </w:numPr>
        <w:spacing w:after="40"/>
      </w:pPr>
      <w:r>
        <w:rPr>
          <w:color w:val="222222"/>
          <w:sz w:val="21"/>
          <w:szCs w:val="21"/>
        </w:rPr>
        <w:t xml:space="preserve">Download the current official guideline PDF for this event and note the listed reference texts and editions.</w:t>
      </w:r>
    </w:p>
    <w:p>
      <w:pPr>
        <w:pStyle w:val="ListParagraph"/>
        <w:numPr>
          <w:ilvl w:val="0"/>
          <w:numId w:val="1"/>
        </w:numPr>
        <w:spacing w:after="40"/>
      </w:pPr>
      <w:r>
        <w:rPr>
          <w:color w:val="222222"/>
          <w:sz w:val="21"/>
          <w:szCs w:val="21"/>
        </w:rPr>
        <w:t xml:space="preserve">Build a study plan around the topic list above; use flashcards for terminology-heavy content.</w:t>
      </w:r>
    </w:p>
    <w:p>
      <w:pPr>
        <w:pStyle w:val="ListParagraph"/>
        <w:numPr>
          <w:ilvl w:val="0"/>
          <w:numId w:val="1"/>
        </w:numPr>
        <w:spacing w:after="40"/>
      </w:pPr>
      <w:r>
        <w:rPr>
          <w:color w:val="222222"/>
          <w:sz w:val="21"/>
          <w:szCs w:val="21"/>
        </w:rPr>
        <w:t xml:space="preserve">Take timed practice tests to build speed for the timed format.</w:t>
      </w:r>
    </w:p>
    <w:p>
      <w:pPr>
        <w:pStyle w:val="ListParagraph"/>
        <w:numPr>
          <w:ilvl w:val="0"/>
          <w:numId w:val="1"/>
        </w:numPr>
        <w:spacing w:after="40"/>
      </w:pPr>
      <w:r>
        <w:rPr>
          <w:color w:val="222222"/>
          <w:sz w:val="21"/>
          <w:szCs w:val="21"/>
        </w:rPr>
        <w:t xml:space="preserve">Study with a partner or team and quiz each other on high-yield topics.</w:t>
      </w:r>
    </w:p>
    <w:p>
      <w:pPr>
        <w:pStyle w:val="ListParagraph"/>
        <w:numPr>
          <w:ilvl w:val="0"/>
          <w:numId w:val="1"/>
        </w:numPr>
        <w:spacing w:after="40"/>
      </w:pPr>
      <w:r>
        <w:rPr>
          <w:color w:val="222222"/>
          <w:sz w:val="21"/>
          <w:szCs w:val="21"/>
        </w:rPr>
        <w:t xml:space="preserve">Review any released sample items and HOSA tip sheets.</w:t>
      </w:r>
    </w:p>
    <w:p>
      <w:r>
        <w:br w:type="page"/>
      </w:r>
    </w:p>
    <w:p>
      <w:pPr>
        <w:pStyle w:val="Heading1"/>
        <w:spacing w:after="120" w:before="240"/>
      </w:pPr>
      <w:r>
        <w:rPr>
          <w:b/>
          <w:bCs/>
          <w:color w:val="1F3864"/>
        </w:rPr>
        <w:t xml:space="preserve">10. Medical Spelling</w:t>
      </w:r>
    </w:p>
    <w:p>
      <w:pPr>
        <w:spacing w:after="60"/>
      </w:pPr>
      <w:r>
        <w:rPr>
          <w:b/>
          <w:bCs/>
          <w:color w:val="1F3864"/>
          <w:sz w:val="21"/>
          <w:szCs w:val="21"/>
        </w:rPr>
        <w:t xml:space="preserve">Category: </w:t>
      </w:r>
      <w:r>
        <w:rPr>
          <w:color w:val="222222"/>
          <w:sz w:val="21"/>
          <w:szCs w:val="21"/>
        </w:rPr>
        <w:t xml:space="preserve">Health Science Event (knowledge test)</w:t>
      </w:r>
    </w:p>
    <w:p>
      <w:pPr>
        <w:spacing w:after="60"/>
      </w:pPr>
      <w:r>
        <w:rPr>
          <w:b/>
          <w:bCs/>
          <w:color w:val="1F3864"/>
          <w:sz w:val="21"/>
          <w:szCs w:val="21"/>
        </w:rPr>
        <w:t xml:space="preserve">Divisions: </w:t>
      </w:r>
      <w:r>
        <w:rPr>
          <w:color w:val="222222"/>
          <w:sz w:val="21"/>
          <w:szCs w:val="21"/>
        </w:rPr>
        <w:t xml:space="preserve">Secondary (SS) and Postsecondary/Collegiate (PSC); confirm Middle School availability in current guidelines</w:t>
      </w:r>
    </w:p>
    <w:p>
      <w:pPr>
        <w:pStyle w:val="Heading2"/>
        <w:spacing w:after="80" w:before="200"/>
      </w:pPr>
      <w:r>
        <w:rPr>
          <w:b/>
          <w:bCs/>
          <w:color w:val="2E74B5"/>
        </w:rPr>
        <w:t xml:space="preserve">Purpose</w:t>
      </w:r>
    </w:p>
    <w:p>
      <w:pPr>
        <w:spacing w:after="100"/>
      </w:pPr>
      <w:r>
        <w:rPr>
          <w:color w:val="222222"/>
          <w:sz w:val="21"/>
          <w:szCs w:val="21"/>
        </w:rPr>
        <w:t xml:space="preserve">Provides members the opportunity to demonstrate accurate spelling of medical terms.</w:t>
      </w:r>
    </w:p>
    <w:p>
      <w:pPr>
        <w:pStyle w:val="Heading2"/>
        <w:spacing w:after="80" w:before="200"/>
      </w:pPr>
      <w:r>
        <w:rPr>
          <w:b/>
          <w:bCs/>
          <w:color w:val="2E74B5"/>
        </w:rPr>
        <w:t xml:space="preserve">Event Format</w:t>
      </w:r>
    </w:p>
    <w:p>
      <w:pPr>
        <w:spacing w:after="100"/>
      </w:pPr>
      <w:r>
        <w:rPr>
          <w:color w:val="222222"/>
          <w:sz w:val="21"/>
          <w:szCs w:val="21"/>
        </w:rPr>
        <w:t xml:space="preserve">Round One is a written, objective multiple-choice test taken at the qualifying (state/regional) conference. Top-scoring competitors advance to Round Two at the ILC, a second written test. Final placement is based on the Round Two score, with tie-breakers as specified.</w:t>
      </w:r>
    </w:p>
    <w:p>
      <w:pPr>
        <w:spacing w:after="60"/>
      </w:pPr>
      <w:r>
        <w:rPr>
          <w:b/>
          <w:bCs/>
          <w:color w:val="1F3864"/>
          <w:sz w:val="21"/>
          <w:szCs w:val="21"/>
        </w:rPr>
        <w:t xml:space="preserve">Typical test specifications: </w:t>
      </w:r>
      <w:r>
        <w:rPr>
          <w:color w:val="222222"/>
          <w:sz w:val="21"/>
          <w:szCs w:val="21"/>
        </w:rPr>
        <w:t xml:space="preserve">Commonly 100 multiple-choice questions in 90 minutes with a tie-breaker. Exact counts/timing are set yearly in the official guideline.</w:t>
      </w:r>
    </w:p>
    <w:p>
      <w:pPr>
        <w:pStyle w:val="Heading2"/>
        <w:spacing w:after="80" w:before="200"/>
      </w:pPr>
      <w:r>
        <w:rPr>
          <w:b/>
          <w:bCs/>
          <w:color w:val="2E74B5"/>
        </w:rPr>
        <w:t xml:space="preserve">Key Content / Topics</w:t>
      </w:r>
    </w:p>
    <w:p>
      <w:pPr>
        <w:pStyle w:val="ListParagraph"/>
        <w:numPr>
          <w:ilvl w:val="0"/>
          <w:numId w:val="1"/>
        </w:numPr>
        <w:spacing w:after="40"/>
      </w:pPr>
      <w:r>
        <w:rPr>
          <w:color w:val="222222"/>
          <w:sz w:val="21"/>
          <w:szCs w:val="21"/>
        </w:rPr>
        <w:t xml:space="preserve">Spelling of medical prefixes, suffixes, and roots</w:t>
      </w:r>
    </w:p>
    <w:p>
      <w:pPr>
        <w:pStyle w:val="ListParagraph"/>
        <w:numPr>
          <w:ilvl w:val="0"/>
          <w:numId w:val="1"/>
        </w:numPr>
        <w:spacing w:after="40"/>
      </w:pPr>
      <w:r>
        <w:rPr>
          <w:color w:val="222222"/>
          <w:sz w:val="21"/>
          <w:szCs w:val="21"/>
        </w:rPr>
        <w:t xml:space="preserve">Anatomy and physiology terms</w:t>
      </w:r>
    </w:p>
    <w:p>
      <w:pPr>
        <w:pStyle w:val="ListParagraph"/>
        <w:numPr>
          <w:ilvl w:val="0"/>
          <w:numId w:val="1"/>
        </w:numPr>
        <w:spacing w:after="40"/>
      </w:pPr>
      <w:r>
        <w:rPr>
          <w:color w:val="222222"/>
          <w:sz w:val="21"/>
          <w:szCs w:val="21"/>
        </w:rPr>
        <w:t xml:space="preserve">Disease, condition, and procedure names</w:t>
      </w:r>
    </w:p>
    <w:p>
      <w:pPr>
        <w:pStyle w:val="ListParagraph"/>
        <w:numPr>
          <w:ilvl w:val="0"/>
          <w:numId w:val="1"/>
        </w:numPr>
        <w:spacing w:after="40"/>
      </w:pPr>
      <w:r>
        <w:rPr>
          <w:color w:val="222222"/>
          <w:sz w:val="21"/>
          <w:szCs w:val="21"/>
        </w:rPr>
        <w:t xml:space="preserve">Pharmacological and diagnostic terms</w:t>
      </w:r>
    </w:p>
    <w:p>
      <w:pPr>
        <w:pStyle w:val="ListParagraph"/>
        <w:numPr>
          <w:ilvl w:val="0"/>
          <w:numId w:val="1"/>
        </w:numPr>
        <w:spacing w:after="40"/>
      </w:pPr>
      <w:r>
        <w:rPr>
          <w:color w:val="222222"/>
          <w:sz w:val="21"/>
          <w:szCs w:val="21"/>
        </w:rPr>
        <w:t xml:space="preserve">Commonly misspelled medical words</w:t>
      </w:r>
    </w:p>
    <w:p>
      <w:pPr>
        <w:pStyle w:val="Heading2"/>
        <w:spacing w:after="80" w:before="200"/>
      </w:pPr>
      <w:r>
        <w:rPr>
          <w:b/>
          <w:bCs/>
          <w:color w:val="2E74B5"/>
        </w:rPr>
        <w:t xml:space="preserve">Recommended References</w:t>
      </w:r>
    </w:p>
    <w:p>
      <w:pPr>
        <w:spacing w:after="100"/>
      </w:pPr>
      <w:r>
        <w:rPr>
          <w:color w:val="222222"/>
          <w:sz w:val="21"/>
          <w:szCs w:val="21"/>
        </w:rPr>
        <w:t xml:space="preserve">Taber's Cyclopedic Medical Dictionary or the reference specified in the official event guidelines.</w:t>
      </w:r>
    </w:p>
    <w:p>
      <w:pPr>
        <w:pStyle w:val="Heading2"/>
        <w:spacing w:after="80" w:before="200"/>
      </w:pPr>
      <w:r>
        <w:rPr>
          <w:b/>
          <w:bCs/>
          <w:color w:val="2E74B5"/>
        </w:rPr>
        <w:t xml:space="preserve">Attire</w:t>
      </w:r>
    </w:p>
    <w:p>
      <w:pPr>
        <w:spacing w:after="100"/>
      </w:pPr>
      <w:r>
        <w:rPr>
          <w:color w:val="222222"/>
          <w:sz w:val="21"/>
          <w:szCs w:val="21"/>
        </w:rPr>
        <w:t xml:space="preserve">Official HOSA competition attire or appropriate business/uniform dress per the HOSA Dress Code (Appendix). Proper dress is required to receive awards.</w:t>
      </w:r>
    </w:p>
    <w:p>
      <w:pPr>
        <w:pStyle w:val="Heading2"/>
        <w:spacing w:after="80" w:before="200"/>
      </w:pPr>
      <w:r>
        <w:rPr>
          <w:b/>
          <w:bCs/>
          <w:color w:val="2E74B5"/>
        </w:rPr>
        <w:t xml:space="preserve">Scoring &amp; Tie-Breakers</w:t>
      </w:r>
    </w:p>
    <w:p>
      <w:pPr>
        <w:spacing w:after="100"/>
      </w:pPr>
      <w:r>
        <w:rPr>
          <w:color w:val="222222"/>
          <w:sz w:val="21"/>
          <w:szCs w:val="21"/>
        </w:rPr>
        <w:t xml:space="preserve">Scored on number of correct answers; a designated tie-breaker question or alternate-round score resolves ties.</w:t>
      </w:r>
    </w:p>
    <w:p>
      <w:pPr>
        <w:pStyle w:val="Heading2"/>
        <w:spacing w:after="80" w:before="200"/>
      </w:pPr>
      <w:r>
        <w:rPr>
          <w:b/>
          <w:bCs/>
          <w:color w:val="2E74B5"/>
        </w:rPr>
        <w:t xml:space="preserve">Preparation Tips</w:t>
      </w:r>
    </w:p>
    <w:p>
      <w:pPr>
        <w:pStyle w:val="ListParagraph"/>
        <w:numPr>
          <w:ilvl w:val="0"/>
          <w:numId w:val="1"/>
        </w:numPr>
        <w:spacing w:after="40"/>
      </w:pPr>
      <w:r>
        <w:rPr>
          <w:color w:val="222222"/>
          <w:sz w:val="21"/>
          <w:szCs w:val="21"/>
        </w:rPr>
        <w:t xml:space="preserve">Download the current official guideline PDF for this event and note the listed reference texts and editions.</w:t>
      </w:r>
    </w:p>
    <w:p>
      <w:pPr>
        <w:pStyle w:val="ListParagraph"/>
        <w:numPr>
          <w:ilvl w:val="0"/>
          <w:numId w:val="1"/>
        </w:numPr>
        <w:spacing w:after="40"/>
      </w:pPr>
      <w:r>
        <w:rPr>
          <w:color w:val="222222"/>
          <w:sz w:val="21"/>
          <w:szCs w:val="21"/>
        </w:rPr>
        <w:t xml:space="preserve">Build a study plan around the topic list above; use flashcards for terminology-heavy content.</w:t>
      </w:r>
    </w:p>
    <w:p>
      <w:pPr>
        <w:pStyle w:val="ListParagraph"/>
        <w:numPr>
          <w:ilvl w:val="0"/>
          <w:numId w:val="1"/>
        </w:numPr>
        <w:spacing w:after="40"/>
      </w:pPr>
      <w:r>
        <w:rPr>
          <w:color w:val="222222"/>
          <w:sz w:val="21"/>
          <w:szCs w:val="21"/>
        </w:rPr>
        <w:t xml:space="preserve">Take timed practice tests to build speed for the timed format.</w:t>
      </w:r>
    </w:p>
    <w:p>
      <w:pPr>
        <w:pStyle w:val="ListParagraph"/>
        <w:numPr>
          <w:ilvl w:val="0"/>
          <w:numId w:val="1"/>
        </w:numPr>
        <w:spacing w:after="40"/>
      </w:pPr>
      <w:r>
        <w:rPr>
          <w:color w:val="222222"/>
          <w:sz w:val="21"/>
          <w:szCs w:val="21"/>
        </w:rPr>
        <w:t xml:space="preserve">Study with a partner or team and quiz each other on high-yield topics.</w:t>
      </w:r>
    </w:p>
    <w:p>
      <w:pPr>
        <w:pStyle w:val="ListParagraph"/>
        <w:numPr>
          <w:ilvl w:val="0"/>
          <w:numId w:val="1"/>
        </w:numPr>
        <w:spacing w:after="40"/>
      </w:pPr>
      <w:r>
        <w:rPr>
          <w:color w:val="222222"/>
          <w:sz w:val="21"/>
          <w:szCs w:val="21"/>
        </w:rPr>
        <w:t xml:space="preserve">Review any released sample items and HOSA tip sheets.</w:t>
      </w:r>
    </w:p>
    <w:p>
      <w:r>
        <w:br w:type="page"/>
      </w:r>
    </w:p>
    <w:p>
      <w:pPr>
        <w:pStyle w:val="Heading1"/>
        <w:spacing w:after="120" w:before="240"/>
      </w:pPr>
      <w:r>
        <w:rPr>
          <w:b/>
          <w:bCs/>
          <w:color w:val="1F3864"/>
        </w:rPr>
        <w:t xml:space="preserve">11. Medical Terminology</w:t>
      </w:r>
    </w:p>
    <w:p>
      <w:pPr>
        <w:spacing w:after="60"/>
      </w:pPr>
      <w:r>
        <w:rPr>
          <w:b/>
          <w:bCs/>
          <w:color w:val="1F3864"/>
          <w:sz w:val="21"/>
          <w:szCs w:val="21"/>
        </w:rPr>
        <w:t xml:space="preserve">Category: </w:t>
      </w:r>
      <w:r>
        <w:rPr>
          <w:color w:val="222222"/>
          <w:sz w:val="21"/>
          <w:szCs w:val="21"/>
        </w:rPr>
        <w:t xml:space="preserve">Health Science Event (knowledge test)</w:t>
      </w:r>
    </w:p>
    <w:p>
      <w:pPr>
        <w:spacing w:after="60"/>
      </w:pPr>
      <w:r>
        <w:rPr>
          <w:b/>
          <w:bCs/>
          <w:color w:val="1F3864"/>
          <w:sz w:val="21"/>
          <w:szCs w:val="21"/>
        </w:rPr>
        <w:t xml:space="preserve">Divisions: </w:t>
      </w:r>
      <w:r>
        <w:rPr>
          <w:color w:val="222222"/>
          <w:sz w:val="21"/>
          <w:szCs w:val="21"/>
        </w:rPr>
        <w:t xml:space="preserve">Secondary (SS) and Postsecondary/Collegiate (PSC); confirm Middle School availability in current guidelines</w:t>
      </w:r>
    </w:p>
    <w:p>
      <w:pPr>
        <w:pStyle w:val="Heading2"/>
        <w:spacing w:after="80" w:before="200"/>
      </w:pPr>
      <w:r>
        <w:rPr>
          <w:b/>
          <w:bCs/>
          <w:color w:val="2E74B5"/>
        </w:rPr>
        <w:t xml:space="preserve">Purpose</w:t>
      </w:r>
    </w:p>
    <w:p>
      <w:pPr>
        <w:spacing w:after="100"/>
      </w:pPr>
      <w:r>
        <w:rPr>
          <w:color w:val="222222"/>
          <w:sz w:val="21"/>
          <w:szCs w:val="21"/>
        </w:rPr>
        <w:t xml:space="preserve">Provides members the opportunity to gain knowledge and skills regarding prefixes, suffixes, word roots, and related anatomy, physiology, pathophysiology, and health occupations.</w:t>
      </w:r>
    </w:p>
    <w:p>
      <w:pPr>
        <w:pStyle w:val="Heading2"/>
        <w:spacing w:after="80" w:before="200"/>
      </w:pPr>
      <w:r>
        <w:rPr>
          <w:b/>
          <w:bCs/>
          <w:color w:val="2E74B5"/>
        </w:rPr>
        <w:t xml:space="preserve">Event Format</w:t>
      </w:r>
    </w:p>
    <w:p>
      <w:pPr>
        <w:spacing w:after="100"/>
      </w:pPr>
      <w:r>
        <w:rPr>
          <w:color w:val="222222"/>
          <w:sz w:val="21"/>
          <w:szCs w:val="21"/>
        </w:rPr>
        <w:t xml:space="preserve">Round One is a written, objective multiple-choice test taken at the qualifying (state/regional) conference. Top-scoring competitors advance to Round Two at the ILC, a second written test. Final placement is based on the Round Two score, with tie-breakers as specified.</w:t>
      </w:r>
    </w:p>
    <w:p>
      <w:pPr>
        <w:spacing w:after="60"/>
      </w:pPr>
      <w:r>
        <w:rPr>
          <w:b/>
          <w:bCs/>
          <w:color w:val="1F3864"/>
          <w:sz w:val="21"/>
          <w:szCs w:val="21"/>
        </w:rPr>
        <w:t xml:space="preserve">Typical test specifications: </w:t>
      </w:r>
      <w:r>
        <w:rPr>
          <w:color w:val="222222"/>
          <w:sz w:val="21"/>
          <w:szCs w:val="21"/>
        </w:rPr>
        <w:t xml:space="preserve">Commonly 100 multiple-choice questions in 90 minutes with a tie-breaker. Exact counts/timing are set yearly in the official guideline.</w:t>
      </w:r>
    </w:p>
    <w:p>
      <w:pPr>
        <w:pStyle w:val="Heading2"/>
        <w:spacing w:after="80" w:before="200"/>
      </w:pPr>
      <w:r>
        <w:rPr>
          <w:b/>
          <w:bCs/>
          <w:color w:val="2E74B5"/>
        </w:rPr>
        <w:t xml:space="preserve">Key Content / Topics</w:t>
      </w:r>
    </w:p>
    <w:p>
      <w:pPr>
        <w:pStyle w:val="ListParagraph"/>
        <w:numPr>
          <w:ilvl w:val="0"/>
          <w:numId w:val="1"/>
        </w:numPr>
        <w:spacing w:after="40"/>
      </w:pPr>
      <w:r>
        <w:rPr>
          <w:color w:val="222222"/>
          <w:sz w:val="21"/>
          <w:szCs w:val="21"/>
        </w:rPr>
        <w:t xml:space="preserve">Prefixes, suffixes, and combining forms</w:t>
      </w:r>
    </w:p>
    <w:p>
      <w:pPr>
        <w:pStyle w:val="ListParagraph"/>
        <w:numPr>
          <w:ilvl w:val="0"/>
          <w:numId w:val="1"/>
        </w:numPr>
        <w:spacing w:after="40"/>
      </w:pPr>
      <w:r>
        <w:rPr>
          <w:color w:val="222222"/>
          <w:sz w:val="21"/>
          <w:szCs w:val="21"/>
        </w:rPr>
        <w:t xml:space="preserve">Word building and analysis</w:t>
      </w:r>
    </w:p>
    <w:p>
      <w:pPr>
        <w:pStyle w:val="ListParagraph"/>
        <w:numPr>
          <w:ilvl w:val="0"/>
          <w:numId w:val="1"/>
        </w:numPr>
        <w:spacing w:after="40"/>
      </w:pPr>
      <w:r>
        <w:rPr>
          <w:color w:val="222222"/>
          <w:sz w:val="21"/>
          <w:szCs w:val="21"/>
        </w:rPr>
        <w:t xml:space="preserve">Terminology organized by body system</w:t>
      </w:r>
    </w:p>
    <w:p>
      <w:pPr>
        <w:pStyle w:val="ListParagraph"/>
        <w:numPr>
          <w:ilvl w:val="0"/>
          <w:numId w:val="1"/>
        </w:numPr>
        <w:spacing w:after="40"/>
      </w:pPr>
      <w:r>
        <w:rPr>
          <w:color w:val="222222"/>
          <w:sz w:val="21"/>
          <w:szCs w:val="21"/>
        </w:rPr>
        <w:t xml:space="preserve">Anatomy and physiology basics</w:t>
      </w:r>
    </w:p>
    <w:p>
      <w:pPr>
        <w:pStyle w:val="ListParagraph"/>
        <w:numPr>
          <w:ilvl w:val="0"/>
          <w:numId w:val="1"/>
        </w:numPr>
        <w:spacing w:after="40"/>
      </w:pPr>
      <w:r>
        <w:rPr>
          <w:color w:val="222222"/>
          <w:sz w:val="21"/>
          <w:szCs w:val="21"/>
        </w:rPr>
        <w:t xml:space="preserve">Pathophysiology and disease terms</w:t>
      </w:r>
    </w:p>
    <w:p>
      <w:pPr>
        <w:pStyle w:val="ListParagraph"/>
        <w:numPr>
          <w:ilvl w:val="0"/>
          <w:numId w:val="1"/>
        </w:numPr>
        <w:spacing w:after="40"/>
      </w:pPr>
      <w:r>
        <w:rPr>
          <w:color w:val="222222"/>
          <w:sz w:val="21"/>
          <w:szCs w:val="21"/>
        </w:rPr>
        <w:t xml:space="preserve">Diagnostic, procedural, and pharmacological terms</w:t>
      </w:r>
    </w:p>
    <w:p>
      <w:pPr>
        <w:pStyle w:val="ListParagraph"/>
        <w:numPr>
          <w:ilvl w:val="0"/>
          <w:numId w:val="1"/>
        </w:numPr>
        <w:spacing w:after="40"/>
      </w:pPr>
      <w:r>
        <w:rPr>
          <w:color w:val="222222"/>
          <w:sz w:val="21"/>
          <w:szCs w:val="21"/>
        </w:rPr>
        <w:t xml:space="preserve">Abbreviations and symbols</w:t>
      </w:r>
    </w:p>
    <w:p>
      <w:pPr>
        <w:pStyle w:val="Heading2"/>
        <w:spacing w:after="80" w:before="200"/>
      </w:pPr>
      <w:r>
        <w:rPr>
          <w:b/>
          <w:bCs/>
          <w:color w:val="2E74B5"/>
        </w:rPr>
        <w:t xml:space="preserve">Recommended References</w:t>
      </w:r>
    </w:p>
    <w:p>
      <w:pPr>
        <w:spacing w:after="100"/>
      </w:pPr>
      <w:r>
        <w:rPr>
          <w:color w:val="222222"/>
          <w:sz w:val="21"/>
          <w:szCs w:val="21"/>
        </w:rPr>
        <w:t xml:space="preserve">Medical terminology texts (e.g., as listed) in the official event guidelines.</w:t>
      </w:r>
    </w:p>
    <w:p>
      <w:pPr>
        <w:pStyle w:val="Heading2"/>
        <w:spacing w:after="80" w:before="200"/>
      </w:pPr>
      <w:r>
        <w:rPr>
          <w:b/>
          <w:bCs/>
          <w:color w:val="2E74B5"/>
        </w:rPr>
        <w:t xml:space="preserve">Attire</w:t>
      </w:r>
    </w:p>
    <w:p>
      <w:pPr>
        <w:spacing w:after="100"/>
      </w:pPr>
      <w:r>
        <w:rPr>
          <w:color w:val="222222"/>
          <w:sz w:val="21"/>
          <w:szCs w:val="21"/>
        </w:rPr>
        <w:t xml:space="preserve">Official HOSA competition attire or appropriate business/uniform dress per the HOSA Dress Code (Appendix). Proper dress is required to receive awards.</w:t>
      </w:r>
    </w:p>
    <w:p>
      <w:pPr>
        <w:pStyle w:val="Heading2"/>
        <w:spacing w:after="80" w:before="200"/>
      </w:pPr>
      <w:r>
        <w:rPr>
          <w:b/>
          <w:bCs/>
          <w:color w:val="2E74B5"/>
        </w:rPr>
        <w:t xml:space="preserve">Scoring &amp; Tie-Breakers</w:t>
      </w:r>
    </w:p>
    <w:p>
      <w:pPr>
        <w:spacing w:after="100"/>
      </w:pPr>
      <w:r>
        <w:rPr>
          <w:color w:val="222222"/>
          <w:sz w:val="21"/>
          <w:szCs w:val="21"/>
        </w:rPr>
        <w:t xml:space="preserve">Scored on number of correct answers; a designated tie-breaker question or alternate-round score resolves ties.</w:t>
      </w:r>
    </w:p>
    <w:p>
      <w:pPr>
        <w:pStyle w:val="Heading2"/>
        <w:spacing w:after="80" w:before="200"/>
      </w:pPr>
      <w:r>
        <w:rPr>
          <w:b/>
          <w:bCs/>
          <w:color w:val="2E74B5"/>
        </w:rPr>
        <w:t xml:space="preserve">Preparation Tips</w:t>
      </w:r>
    </w:p>
    <w:p>
      <w:pPr>
        <w:pStyle w:val="ListParagraph"/>
        <w:numPr>
          <w:ilvl w:val="0"/>
          <w:numId w:val="1"/>
        </w:numPr>
        <w:spacing w:after="40"/>
      </w:pPr>
      <w:r>
        <w:rPr>
          <w:color w:val="222222"/>
          <w:sz w:val="21"/>
          <w:szCs w:val="21"/>
        </w:rPr>
        <w:t xml:space="preserve">Download the current official guideline PDF for this event and note the listed reference texts and editions.</w:t>
      </w:r>
    </w:p>
    <w:p>
      <w:pPr>
        <w:pStyle w:val="ListParagraph"/>
        <w:numPr>
          <w:ilvl w:val="0"/>
          <w:numId w:val="1"/>
        </w:numPr>
        <w:spacing w:after="40"/>
      </w:pPr>
      <w:r>
        <w:rPr>
          <w:color w:val="222222"/>
          <w:sz w:val="21"/>
          <w:szCs w:val="21"/>
        </w:rPr>
        <w:t xml:space="preserve">Build a study plan around the topic list above; use flashcards for terminology-heavy content.</w:t>
      </w:r>
    </w:p>
    <w:p>
      <w:pPr>
        <w:pStyle w:val="ListParagraph"/>
        <w:numPr>
          <w:ilvl w:val="0"/>
          <w:numId w:val="1"/>
        </w:numPr>
        <w:spacing w:after="40"/>
      </w:pPr>
      <w:r>
        <w:rPr>
          <w:color w:val="222222"/>
          <w:sz w:val="21"/>
          <w:szCs w:val="21"/>
        </w:rPr>
        <w:t xml:space="preserve">Take timed practice tests to build speed for the timed format.</w:t>
      </w:r>
    </w:p>
    <w:p>
      <w:pPr>
        <w:pStyle w:val="ListParagraph"/>
        <w:numPr>
          <w:ilvl w:val="0"/>
          <w:numId w:val="1"/>
        </w:numPr>
        <w:spacing w:after="40"/>
      </w:pPr>
      <w:r>
        <w:rPr>
          <w:color w:val="222222"/>
          <w:sz w:val="21"/>
          <w:szCs w:val="21"/>
        </w:rPr>
        <w:t xml:space="preserve">Study with a partner or team and quiz each other on high-yield topics.</w:t>
      </w:r>
    </w:p>
    <w:p>
      <w:pPr>
        <w:pStyle w:val="ListParagraph"/>
        <w:numPr>
          <w:ilvl w:val="0"/>
          <w:numId w:val="1"/>
        </w:numPr>
        <w:spacing w:after="40"/>
      </w:pPr>
      <w:r>
        <w:rPr>
          <w:color w:val="222222"/>
          <w:sz w:val="21"/>
          <w:szCs w:val="21"/>
        </w:rPr>
        <w:t xml:space="preserve">Review any released sample items and HOSA tip sheets.</w:t>
      </w:r>
    </w:p>
    <w:p>
      <w:r>
        <w:br w:type="page"/>
      </w:r>
    </w:p>
    <w:p>
      <w:pPr>
        <w:pStyle w:val="Heading1"/>
        <w:spacing w:after="120" w:before="240"/>
      </w:pPr>
      <w:r>
        <w:rPr>
          <w:b/>
          <w:bCs/>
          <w:color w:val="1F3864"/>
        </w:rPr>
        <w:t xml:space="preserve">12. Nutrition</w:t>
      </w:r>
    </w:p>
    <w:p>
      <w:pPr>
        <w:spacing w:after="60"/>
      </w:pPr>
      <w:r>
        <w:rPr>
          <w:b/>
          <w:bCs/>
          <w:color w:val="1F3864"/>
          <w:sz w:val="21"/>
          <w:szCs w:val="21"/>
        </w:rPr>
        <w:t xml:space="preserve">Category: </w:t>
      </w:r>
      <w:r>
        <w:rPr>
          <w:color w:val="222222"/>
          <w:sz w:val="21"/>
          <w:szCs w:val="21"/>
        </w:rPr>
        <w:t xml:space="preserve">Health Science Event (knowledge test)</w:t>
      </w:r>
    </w:p>
    <w:p>
      <w:pPr>
        <w:spacing w:after="60"/>
      </w:pPr>
      <w:r>
        <w:rPr>
          <w:b/>
          <w:bCs/>
          <w:color w:val="1F3864"/>
          <w:sz w:val="21"/>
          <w:szCs w:val="21"/>
        </w:rPr>
        <w:t xml:space="preserve">Divisions: </w:t>
      </w:r>
      <w:r>
        <w:rPr>
          <w:color w:val="222222"/>
          <w:sz w:val="21"/>
          <w:szCs w:val="21"/>
        </w:rPr>
        <w:t xml:space="preserve">Secondary (SS) and Postsecondary/Collegiate (PSC); confirm Middle School availability in current guidelines</w:t>
      </w:r>
    </w:p>
    <w:p>
      <w:pPr>
        <w:pStyle w:val="Heading2"/>
        <w:spacing w:after="80" w:before="200"/>
      </w:pPr>
      <w:r>
        <w:rPr>
          <w:b/>
          <w:bCs/>
          <w:color w:val="2E74B5"/>
        </w:rPr>
        <w:t xml:space="preserve">Purpose</w:t>
      </w:r>
    </w:p>
    <w:p>
      <w:pPr>
        <w:spacing w:after="100"/>
      </w:pPr>
      <w:r>
        <w:rPr>
          <w:color w:val="222222"/>
          <w:sz w:val="21"/>
          <w:szCs w:val="21"/>
        </w:rPr>
        <w:t xml:space="preserve">Explores the relationship of nutrition and wellness and assesses knowledge common to this health field.</w:t>
      </w:r>
    </w:p>
    <w:p>
      <w:pPr>
        <w:pStyle w:val="Heading2"/>
        <w:spacing w:after="80" w:before="200"/>
      </w:pPr>
      <w:r>
        <w:rPr>
          <w:b/>
          <w:bCs/>
          <w:color w:val="2E74B5"/>
        </w:rPr>
        <w:t xml:space="preserve">Event Format</w:t>
      </w:r>
    </w:p>
    <w:p>
      <w:pPr>
        <w:spacing w:after="100"/>
      </w:pPr>
      <w:r>
        <w:rPr>
          <w:color w:val="222222"/>
          <w:sz w:val="21"/>
          <w:szCs w:val="21"/>
        </w:rPr>
        <w:t xml:space="preserve">Round One is a written, objective multiple-choice test taken at the qualifying (state/regional) conference. Top-scoring competitors advance to Round Two at the ILC, a second written test. Final placement is based on the Round Two score, with tie-breakers as specified.</w:t>
      </w:r>
    </w:p>
    <w:p>
      <w:pPr>
        <w:spacing w:after="60"/>
      </w:pPr>
      <w:r>
        <w:rPr>
          <w:b/>
          <w:bCs/>
          <w:color w:val="1F3864"/>
          <w:sz w:val="21"/>
          <w:szCs w:val="21"/>
        </w:rPr>
        <w:t xml:space="preserve">Typical test specifications: </w:t>
      </w:r>
      <w:r>
        <w:rPr>
          <w:color w:val="222222"/>
          <w:sz w:val="21"/>
          <w:szCs w:val="21"/>
        </w:rPr>
        <w:t xml:space="preserve">Commonly 100 multiple-choice questions in 90 minutes with a tie-breaker. Exact counts/timing are set yearly in the official guideline.</w:t>
      </w:r>
    </w:p>
    <w:p>
      <w:pPr>
        <w:pStyle w:val="Heading2"/>
        <w:spacing w:after="80" w:before="200"/>
      </w:pPr>
      <w:r>
        <w:rPr>
          <w:b/>
          <w:bCs/>
          <w:color w:val="2E74B5"/>
        </w:rPr>
        <w:t xml:space="preserve">Key Content / Topics</w:t>
      </w:r>
    </w:p>
    <w:p>
      <w:pPr>
        <w:pStyle w:val="ListParagraph"/>
        <w:numPr>
          <w:ilvl w:val="0"/>
          <w:numId w:val="1"/>
        </w:numPr>
        <w:spacing w:after="40"/>
      </w:pPr>
      <w:r>
        <w:rPr>
          <w:color w:val="222222"/>
          <w:sz w:val="21"/>
          <w:szCs w:val="21"/>
        </w:rPr>
        <w:t xml:space="preserve">Macronutrients and micronutrients</w:t>
      </w:r>
    </w:p>
    <w:p>
      <w:pPr>
        <w:pStyle w:val="ListParagraph"/>
        <w:numPr>
          <w:ilvl w:val="0"/>
          <w:numId w:val="1"/>
        </w:numPr>
        <w:spacing w:after="40"/>
      </w:pPr>
      <w:r>
        <w:rPr>
          <w:color w:val="222222"/>
          <w:sz w:val="21"/>
          <w:szCs w:val="21"/>
        </w:rPr>
        <w:t xml:space="preserve">Digestion, absorption, and metabolism</w:t>
      </w:r>
    </w:p>
    <w:p>
      <w:pPr>
        <w:pStyle w:val="ListParagraph"/>
        <w:numPr>
          <w:ilvl w:val="0"/>
          <w:numId w:val="1"/>
        </w:numPr>
        <w:spacing w:after="40"/>
      </w:pPr>
      <w:r>
        <w:rPr>
          <w:color w:val="222222"/>
          <w:sz w:val="21"/>
          <w:szCs w:val="21"/>
        </w:rPr>
        <w:t xml:space="preserve">Dietary guidelines and MyPlate</w:t>
      </w:r>
    </w:p>
    <w:p>
      <w:pPr>
        <w:pStyle w:val="ListParagraph"/>
        <w:numPr>
          <w:ilvl w:val="0"/>
          <w:numId w:val="1"/>
        </w:numPr>
        <w:spacing w:after="40"/>
      </w:pPr>
      <w:r>
        <w:rPr>
          <w:color w:val="222222"/>
          <w:sz w:val="21"/>
          <w:szCs w:val="21"/>
        </w:rPr>
        <w:t xml:space="preserve">Nutritional assessment and requirements across the lifespan</w:t>
      </w:r>
    </w:p>
    <w:p>
      <w:pPr>
        <w:pStyle w:val="ListParagraph"/>
        <w:numPr>
          <w:ilvl w:val="0"/>
          <w:numId w:val="1"/>
        </w:numPr>
        <w:spacing w:after="40"/>
      </w:pPr>
      <w:r>
        <w:rPr>
          <w:color w:val="222222"/>
          <w:sz w:val="21"/>
          <w:szCs w:val="21"/>
        </w:rPr>
        <w:t xml:space="preserve">Diet therapy and therapeutic diets</w:t>
      </w:r>
    </w:p>
    <w:p>
      <w:pPr>
        <w:pStyle w:val="ListParagraph"/>
        <w:numPr>
          <w:ilvl w:val="0"/>
          <w:numId w:val="1"/>
        </w:numPr>
        <w:spacing w:after="40"/>
      </w:pPr>
      <w:r>
        <w:rPr>
          <w:color w:val="222222"/>
          <w:sz w:val="21"/>
          <w:szCs w:val="21"/>
        </w:rPr>
        <w:t xml:space="preserve">Nutrition-related diseases and conditions</w:t>
      </w:r>
    </w:p>
    <w:p>
      <w:pPr>
        <w:pStyle w:val="ListParagraph"/>
        <w:numPr>
          <w:ilvl w:val="0"/>
          <w:numId w:val="1"/>
        </w:numPr>
        <w:spacing w:after="40"/>
      </w:pPr>
      <w:r>
        <w:rPr>
          <w:color w:val="222222"/>
          <w:sz w:val="21"/>
          <w:szCs w:val="21"/>
        </w:rPr>
        <w:t xml:space="preserve">Food safety and labeling</w:t>
      </w:r>
    </w:p>
    <w:p>
      <w:pPr>
        <w:pStyle w:val="Heading2"/>
        <w:spacing w:after="80" w:before="200"/>
      </w:pPr>
      <w:r>
        <w:rPr>
          <w:b/>
          <w:bCs/>
          <w:color w:val="2E74B5"/>
        </w:rPr>
        <w:t xml:space="preserve">Recommended References</w:t>
      </w:r>
    </w:p>
    <w:p>
      <w:pPr>
        <w:spacing w:after="100"/>
      </w:pPr>
      <w:r>
        <w:rPr>
          <w:color w:val="222222"/>
          <w:sz w:val="21"/>
          <w:szCs w:val="21"/>
        </w:rPr>
        <w:t xml:space="preserve">Nutrition science texts identified in the official event guidelines.</w:t>
      </w:r>
    </w:p>
    <w:p>
      <w:pPr>
        <w:pStyle w:val="Heading2"/>
        <w:spacing w:after="80" w:before="200"/>
      </w:pPr>
      <w:r>
        <w:rPr>
          <w:b/>
          <w:bCs/>
          <w:color w:val="2E74B5"/>
        </w:rPr>
        <w:t xml:space="preserve">Attire</w:t>
      </w:r>
    </w:p>
    <w:p>
      <w:pPr>
        <w:spacing w:after="100"/>
      </w:pPr>
      <w:r>
        <w:rPr>
          <w:color w:val="222222"/>
          <w:sz w:val="21"/>
          <w:szCs w:val="21"/>
        </w:rPr>
        <w:t xml:space="preserve">Official HOSA competition attire or appropriate business/uniform dress per the HOSA Dress Code (Appendix). Proper dress is required to receive awards.</w:t>
      </w:r>
    </w:p>
    <w:p>
      <w:pPr>
        <w:pStyle w:val="Heading2"/>
        <w:spacing w:after="80" w:before="200"/>
      </w:pPr>
      <w:r>
        <w:rPr>
          <w:b/>
          <w:bCs/>
          <w:color w:val="2E74B5"/>
        </w:rPr>
        <w:t xml:space="preserve">Scoring &amp; Tie-Breakers</w:t>
      </w:r>
    </w:p>
    <w:p>
      <w:pPr>
        <w:spacing w:after="100"/>
      </w:pPr>
      <w:r>
        <w:rPr>
          <w:color w:val="222222"/>
          <w:sz w:val="21"/>
          <w:szCs w:val="21"/>
        </w:rPr>
        <w:t xml:space="preserve">Scored on number of correct answers; a designated tie-breaker question or alternate-round score resolves ties.</w:t>
      </w:r>
    </w:p>
    <w:p>
      <w:pPr>
        <w:pStyle w:val="Heading2"/>
        <w:spacing w:after="80" w:before="200"/>
      </w:pPr>
      <w:r>
        <w:rPr>
          <w:b/>
          <w:bCs/>
          <w:color w:val="2E74B5"/>
        </w:rPr>
        <w:t xml:space="preserve">Preparation Tips</w:t>
      </w:r>
    </w:p>
    <w:p>
      <w:pPr>
        <w:pStyle w:val="ListParagraph"/>
        <w:numPr>
          <w:ilvl w:val="0"/>
          <w:numId w:val="1"/>
        </w:numPr>
        <w:spacing w:after="40"/>
      </w:pPr>
      <w:r>
        <w:rPr>
          <w:color w:val="222222"/>
          <w:sz w:val="21"/>
          <w:szCs w:val="21"/>
        </w:rPr>
        <w:t xml:space="preserve">Download the current official guideline PDF for this event and note the listed reference texts and editions.</w:t>
      </w:r>
    </w:p>
    <w:p>
      <w:pPr>
        <w:pStyle w:val="ListParagraph"/>
        <w:numPr>
          <w:ilvl w:val="0"/>
          <w:numId w:val="1"/>
        </w:numPr>
        <w:spacing w:after="40"/>
      </w:pPr>
      <w:r>
        <w:rPr>
          <w:color w:val="222222"/>
          <w:sz w:val="21"/>
          <w:szCs w:val="21"/>
        </w:rPr>
        <w:t xml:space="preserve">Build a study plan around the topic list above; use flashcards for terminology-heavy content.</w:t>
      </w:r>
    </w:p>
    <w:p>
      <w:pPr>
        <w:pStyle w:val="ListParagraph"/>
        <w:numPr>
          <w:ilvl w:val="0"/>
          <w:numId w:val="1"/>
        </w:numPr>
        <w:spacing w:after="40"/>
      </w:pPr>
      <w:r>
        <w:rPr>
          <w:color w:val="222222"/>
          <w:sz w:val="21"/>
          <w:szCs w:val="21"/>
        </w:rPr>
        <w:t xml:space="preserve">Take timed practice tests to build speed for the timed format.</w:t>
      </w:r>
    </w:p>
    <w:p>
      <w:pPr>
        <w:pStyle w:val="ListParagraph"/>
        <w:numPr>
          <w:ilvl w:val="0"/>
          <w:numId w:val="1"/>
        </w:numPr>
        <w:spacing w:after="40"/>
      </w:pPr>
      <w:r>
        <w:rPr>
          <w:color w:val="222222"/>
          <w:sz w:val="21"/>
          <w:szCs w:val="21"/>
        </w:rPr>
        <w:t xml:space="preserve">Study with a partner or team and quiz each other on high-yield topics.</w:t>
      </w:r>
    </w:p>
    <w:p>
      <w:pPr>
        <w:pStyle w:val="ListParagraph"/>
        <w:numPr>
          <w:ilvl w:val="0"/>
          <w:numId w:val="1"/>
        </w:numPr>
        <w:spacing w:after="40"/>
      </w:pPr>
      <w:r>
        <w:rPr>
          <w:color w:val="222222"/>
          <w:sz w:val="21"/>
          <w:szCs w:val="21"/>
        </w:rPr>
        <w:t xml:space="preserve">Review any released sample items and HOSA tip sheets.</w:t>
      </w:r>
    </w:p>
    <w:p>
      <w:r>
        <w:br w:type="page"/>
      </w:r>
    </w:p>
    <w:p>
      <w:pPr>
        <w:pStyle w:val="Heading1"/>
        <w:spacing w:after="120" w:before="240"/>
      </w:pPr>
      <w:r>
        <w:rPr>
          <w:b/>
          <w:bCs/>
          <w:color w:val="1F3864"/>
        </w:rPr>
        <w:t xml:space="preserve">13. Pathophysiology</w:t>
      </w:r>
    </w:p>
    <w:p>
      <w:pPr>
        <w:spacing w:after="60"/>
      </w:pPr>
      <w:r>
        <w:rPr>
          <w:b/>
          <w:bCs/>
          <w:color w:val="1F3864"/>
          <w:sz w:val="21"/>
          <w:szCs w:val="21"/>
        </w:rPr>
        <w:t xml:space="preserve">Category: </w:t>
      </w:r>
      <w:r>
        <w:rPr>
          <w:color w:val="222222"/>
          <w:sz w:val="21"/>
          <w:szCs w:val="21"/>
        </w:rPr>
        <w:t xml:space="preserve">Health Science Event (knowledge test)</w:t>
      </w:r>
    </w:p>
    <w:p>
      <w:pPr>
        <w:spacing w:after="60"/>
      </w:pPr>
      <w:r>
        <w:rPr>
          <w:b/>
          <w:bCs/>
          <w:color w:val="1F3864"/>
          <w:sz w:val="21"/>
          <w:szCs w:val="21"/>
        </w:rPr>
        <w:t xml:space="preserve">Divisions: </w:t>
      </w:r>
      <w:r>
        <w:rPr>
          <w:color w:val="222222"/>
          <w:sz w:val="21"/>
          <w:szCs w:val="21"/>
        </w:rPr>
        <w:t xml:space="preserve">Secondary (SS) and Postsecondary/Collegiate (PSC); confirm Middle School availability in current guidelines</w:t>
      </w:r>
    </w:p>
    <w:p>
      <w:pPr>
        <w:pStyle w:val="Heading2"/>
        <w:spacing w:after="80" w:before="200"/>
      </w:pPr>
      <w:r>
        <w:rPr>
          <w:b/>
          <w:bCs/>
          <w:color w:val="2E74B5"/>
        </w:rPr>
        <w:t xml:space="preserve">Purpose</w:t>
      </w:r>
    </w:p>
    <w:p>
      <w:pPr>
        <w:spacing w:after="100"/>
      </w:pPr>
      <w:r>
        <w:rPr>
          <w:color w:val="222222"/>
          <w:sz w:val="21"/>
          <w:szCs w:val="21"/>
        </w:rPr>
        <w:t xml:space="preserve">Tests knowledge of the body systems, terminology, and common diseases that afflict the human body.</w:t>
      </w:r>
    </w:p>
    <w:p>
      <w:pPr>
        <w:pStyle w:val="Heading2"/>
        <w:spacing w:after="80" w:before="200"/>
      </w:pPr>
      <w:r>
        <w:rPr>
          <w:b/>
          <w:bCs/>
          <w:color w:val="2E74B5"/>
        </w:rPr>
        <w:t xml:space="preserve">Event Format</w:t>
      </w:r>
    </w:p>
    <w:p>
      <w:pPr>
        <w:spacing w:after="100"/>
      </w:pPr>
      <w:r>
        <w:rPr>
          <w:color w:val="222222"/>
          <w:sz w:val="21"/>
          <w:szCs w:val="21"/>
        </w:rPr>
        <w:t xml:space="preserve">Round One is a written, objective multiple-choice test taken at the qualifying (state/regional) conference. Top-scoring competitors advance to Round Two at the ILC, a second written test. Final placement is based on the Round Two score, with tie-breakers as specified.</w:t>
      </w:r>
    </w:p>
    <w:p>
      <w:pPr>
        <w:spacing w:after="60"/>
      </w:pPr>
      <w:r>
        <w:rPr>
          <w:b/>
          <w:bCs/>
          <w:color w:val="1F3864"/>
          <w:sz w:val="21"/>
          <w:szCs w:val="21"/>
        </w:rPr>
        <w:t xml:space="preserve">Typical test specifications: </w:t>
      </w:r>
      <w:r>
        <w:rPr>
          <w:color w:val="222222"/>
          <w:sz w:val="21"/>
          <w:szCs w:val="21"/>
        </w:rPr>
        <w:t xml:space="preserve">Commonly 100 multiple-choice questions in 90 minutes with a tie-breaker. Exact counts/timing are set yearly in the official guideline.</w:t>
      </w:r>
    </w:p>
    <w:p>
      <w:pPr>
        <w:pStyle w:val="Heading2"/>
        <w:spacing w:after="80" w:before="200"/>
      </w:pPr>
      <w:r>
        <w:rPr>
          <w:b/>
          <w:bCs/>
          <w:color w:val="2E74B5"/>
        </w:rPr>
        <w:t xml:space="preserve">Key Content / Topics</w:t>
      </w:r>
    </w:p>
    <w:p>
      <w:pPr>
        <w:pStyle w:val="ListParagraph"/>
        <w:numPr>
          <w:ilvl w:val="0"/>
          <w:numId w:val="1"/>
        </w:numPr>
        <w:spacing w:after="40"/>
      </w:pPr>
      <w:r>
        <w:rPr>
          <w:color w:val="222222"/>
          <w:sz w:val="21"/>
          <w:szCs w:val="21"/>
        </w:rPr>
        <w:t xml:space="preserve">Cellular injury, inflammation, and healing</w:t>
      </w:r>
    </w:p>
    <w:p>
      <w:pPr>
        <w:pStyle w:val="ListParagraph"/>
        <w:numPr>
          <w:ilvl w:val="0"/>
          <w:numId w:val="1"/>
        </w:numPr>
        <w:spacing w:after="40"/>
      </w:pPr>
      <w:r>
        <w:rPr>
          <w:color w:val="222222"/>
          <w:sz w:val="21"/>
          <w:szCs w:val="21"/>
        </w:rPr>
        <w:t xml:space="preserve">Disease mechanisms by body system</w:t>
      </w:r>
    </w:p>
    <w:p>
      <w:pPr>
        <w:pStyle w:val="ListParagraph"/>
        <w:numPr>
          <w:ilvl w:val="0"/>
          <w:numId w:val="1"/>
        </w:numPr>
        <w:spacing w:after="40"/>
      </w:pPr>
      <w:r>
        <w:rPr>
          <w:color w:val="222222"/>
          <w:sz w:val="21"/>
          <w:szCs w:val="21"/>
        </w:rPr>
        <w:t xml:space="preserve">Etiology, signs, symptoms, and diagnostics</w:t>
      </w:r>
    </w:p>
    <w:p>
      <w:pPr>
        <w:pStyle w:val="ListParagraph"/>
        <w:numPr>
          <w:ilvl w:val="0"/>
          <w:numId w:val="1"/>
        </w:numPr>
        <w:spacing w:after="40"/>
      </w:pPr>
      <w:r>
        <w:rPr>
          <w:color w:val="222222"/>
          <w:sz w:val="21"/>
          <w:szCs w:val="21"/>
        </w:rPr>
        <w:t xml:space="preserve">Immunity, infection, and neoplasia</w:t>
      </w:r>
    </w:p>
    <w:p>
      <w:pPr>
        <w:pStyle w:val="ListParagraph"/>
        <w:numPr>
          <w:ilvl w:val="0"/>
          <w:numId w:val="1"/>
        </w:numPr>
        <w:spacing w:after="40"/>
      </w:pPr>
      <w:r>
        <w:rPr>
          <w:color w:val="222222"/>
          <w:sz w:val="21"/>
          <w:szCs w:val="21"/>
        </w:rPr>
        <w:t xml:space="preserve">Fluid, electrolyte, and acid-base balance</w:t>
      </w:r>
    </w:p>
    <w:p>
      <w:pPr>
        <w:pStyle w:val="ListParagraph"/>
        <w:numPr>
          <w:ilvl w:val="0"/>
          <w:numId w:val="1"/>
        </w:numPr>
        <w:spacing w:after="40"/>
      </w:pPr>
      <w:r>
        <w:rPr>
          <w:color w:val="222222"/>
          <w:sz w:val="21"/>
          <w:szCs w:val="21"/>
        </w:rPr>
        <w:t xml:space="preserve">Genetic and congenital disorders</w:t>
      </w:r>
    </w:p>
    <w:p>
      <w:pPr>
        <w:pStyle w:val="ListParagraph"/>
        <w:numPr>
          <w:ilvl w:val="0"/>
          <w:numId w:val="1"/>
        </w:numPr>
        <w:spacing w:after="40"/>
      </w:pPr>
      <w:r>
        <w:rPr>
          <w:color w:val="222222"/>
          <w:sz w:val="21"/>
          <w:szCs w:val="21"/>
        </w:rPr>
        <w:t xml:space="preserve">Common diseases and their management</w:t>
      </w:r>
    </w:p>
    <w:p>
      <w:pPr>
        <w:pStyle w:val="Heading2"/>
        <w:spacing w:after="80" w:before="200"/>
      </w:pPr>
      <w:r>
        <w:rPr>
          <w:b/>
          <w:bCs/>
          <w:color w:val="2E74B5"/>
        </w:rPr>
        <w:t xml:space="preserve">Recommended References</w:t>
      </w:r>
    </w:p>
    <w:p>
      <w:pPr>
        <w:spacing w:after="100"/>
      </w:pPr>
      <w:r>
        <w:rPr>
          <w:color w:val="222222"/>
          <w:sz w:val="21"/>
          <w:szCs w:val="21"/>
        </w:rPr>
        <w:t xml:space="preserve">Pathophysiology texts identified in the official event guidelines.</w:t>
      </w:r>
    </w:p>
    <w:p>
      <w:pPr>
        <w:pStyle w:val="Heading2"/>
        <w:spacing w:after="80" w:before="200"/>
      </w:pPr>
      <w:r>
        <w:rPr>
          <w:b/>
          <w:bCs/>
          <w:color w:val="2E74B5"/>
        </w:rPr>
        <w:t xml:space="preserve">Attire</w:t>
      </w:r>
    </w:p>
    <w:p>
      <w:pPr>
        <w:spacing w:after="100"/>
      </w:pPr>
      <w:r>
        <w:rPr>
          <w:color w:val="222222"/>
          <w:sz w:val="21"/>
          <w:szCs w:val="21"/>
        </w:rPr>
        <w:t xml:space="preserve">Official HOSA competition attire or appropriate business/uniform dress per the HOSA Dress Code (Appendix). Proper dress is required to receive awards.</w:t>
      </w:r>
    </w:p>
    <w:p>
      <w:pPr>
        <w:pStyle w:val="Heading2"/>
        <w:spacing w:after="80" w:before="200"/>
      </w:pPr>
      <w:r>
        <w:rPr>
          <w:b/>
          <w:bCs/>
          <w:color w:val="2E74B5"/>
        </w:rPr>
        <w:t xml:space="preserve">Scoring &amp; Tie-Breakers</w:t>
      </w:r>
    </w:p>
    <w:p>
      <w:pPr>
        <w:spacing w:after="100"/>
      </w:pPr>
      <w:r>
        <w:rPr>
          <w:color w:val="222222"/>
          <w:sz w:val="21"/>
          <w:szCs w:val="21"/>
        </w:rPr>
        <w:t xml:space="preserve">Scored on number of correct answers; a designated tie-breaker question or alternate-round score resolves ties.</w:t>
      </w:r>
    </w:p>
    <w:p>
      <w:pPr>
        <w:pStyle w:val="Heading2"/>
        <w:spacing w:after="80" w:before="200"/>
      </w:pPr>
      <w:r>
        <w:rPr>
          <w:b/>
          <w:bCs/>
          <w:color w:val="2E74B5"/>
        </w:rPr>
        <w:t xml:space="preserve">Preparation Tips</w:t>
      </w:r>
    </w:p>
    <w:p>
      <w:pPr>
        <w:pStyle w:val="ListParagraph"/>
        <w:numPr>
          <w:ilvl w:val="0"/>
          <w:numId w:val="1"/>
        </w:numPr>
        <w:spacing w:after="40"/>
      </w:pPr>
      <w:r>
        <w:rPr>
          <w:color w:val="222222"/>
          <w:sz w:val="21"/>
          <w:szCs w:val="21"/>
        </w:rPr>
        <w:t xml:space="preserve">Download the current official guideline PDF for this event and note the listed reference texts and editions.</w:t>
      </w:r>
    </w:p>
    <w:p>
      <w:pPr>
        <w:pStyle w:val="ListParagraph"/>
        <w:numPr>
          <w:ilvl w:val="0"/>
          <w:numId w:val="1"/>
        </w:numPr>
        <w:spacing w:after="40"/>
      </w:pPr>
      <w:r>
        <w:rPr>
          <w:color w:val="222222"/>
          <w:sz w:val="21"/>
          <w:szCs w:val="21"/>
        </w:rPr>
        <w:t xml:space="preserve">Build a study plan around the topic list above; use flashcards for terminology-heavy content.</w:t>
      </w:r>
    </w:p>
    <w:p>
      <w:pPr>
        <w:pStyle w:val="ListParagraph"/>
        <w:numPr>
          <w:ilvl w:val="0"/>
          <w:numId w:val="1"/>
        </w:numPr>
        <w:spacing w:after="40"/>
      </w:pPr>
      <w:r>
        <w:rPr>
          <w:color w:val="222222"/>
          <w:sz w:val="21"/>
          <w:szCs w:val="21"/>
        </w:rPr>
        <w:t xml:space="preserve">Take timed practice tests to build speed for the timed format.</w:t>
      </w:r>
    </w:p>
    <w:p>
      <w:pPr>
        <w:pStyle w:val="ListParagraph"/>
        <w:numPr>
          <w:ilvl w:val="0"/>
          <w:numId w:val="1"/>
        </w:numPr>
        <w:spacing w:after="40"/>
      </w:pPr>
      <w:r>
        <w:rPr>
          <w:color w:val="222222"/>
          <w:sz w:val="21"/>
          <w:szCs w:val="21"/>
        </w:rPr>
        <w:t xml:space="preserve">Study with a partner or team and quiz each other on high-yield topics.</w:t>
      </w:r>
    </w:p>
    <w:p>
      <w:pPr>
        <w:pStyle w:val="ListParagraph"/>
        <w:numPr>
          <w:ilvl w:val="0"/>
          <w:numId w:val="1"/>
        </w:numPr>
        <w:spacing w:after="40"/>
      </w:pPr>
      <w:r>
        <w:rPr>
          <w:color w:val="222222"/>
          <w:sz w:val="21"/>
          <w:szCs w:val="21"/>
        </w:rPr>
        <w:t xml:space="preserve">Review any released sample items and HOSA tip sheets.</w:t>
      </w:r>
    </w:p>
    <w:p>
      <w:r>
        <w:br w:type="page"/>
      </w:r>
    </w:p>
    <w:p>
      <w:pPr>
        <w:pStyle w:val="Heading1"/>
        <w:spacing w:after="120" w:before="240"/>
      </w:pPr>
      <w:r>
        <w:rPr>
          <w:b/>
          <w:bCs/>
          <w:color w:val="1F3864"/>
        </w:rPr>
        <w:t xml:space="preserve">14. Pharmacology</w:t>
      </w:r>
    </w:p>
    <w:p>
      <w:pPr>
        <w:spacing w:after="60"/>
      </w:pPr>
      <w:r>
        <w:rPr>
          <w:b/>
          <w:bCs/>
          <w:color w:val="1F3864"/>
          <w:sz w:val="21"/>
          <w:szCs w:val="21"/>
        </w:rPr>
        <w:t xml:space="preserve">Category: </w:t>
      </w:r>
      <w:r>
        <w:rPr>
          <w:color w:val="222222"/>
          <w:sz w:val="21"/>
          <w:szCs w:val="21"/>
        </w:rPr>
        <w:t xml:space="preserve">Health Science Event (knowledge test)</w:t>
      </w:r>
    </w:p>
    <w:p>
      <w:pPr>
        <w:spacing w:after="60"/>
      </w:pPr>
      <w:r>
        <w:rPr>
          <w:b/>
          <w:bCs/>
          <w:color w:val="1F3864"/>
          <w:sz w:val="21"/>
          <w:szCs w:val="21"/>
        </w:rPr>
        <w:t xml:space="preserve">Divisions: </w:t>
      </w:r>
      <w:r>
        <w:rPr>
          <w:color w:val="222222"/>
          <w:sz w:val="21"/>
          <w:szCs w:val="21"/>
        </w:rPr>
        <w:t xml:space="preserve">Secondary (SS) and Postsecondary/Collegiate (PSC); confirm Middle School availability in current guidelines</w:t>
      </w:r>
    </w:p>
    <w:p>
      <w:pPr>
        <w:pStyle w:val="Heading2"/>
        <w:spacing w:after="80" w:before="200"/>
      </w:pPr>
      <w:r>
        <w:rPr>
          <w:b/>
          <w:bCs/>
          <w:color w:val="2E74B5"/>
        </w:rPr>
        <w:t xml:space="preserve">Purpose</w:t>
      </w:r>
    </w:p>
    <w:p>
      <w:pPr>
        <w:spacing w:after="100"/>
      </w:pPr>
      <w:r>
        <w:rPr>
          <w:color w:val="222222"/>
          <w:sz w:val="21"/>
          <w:szCs w:val="21"/>
        </w:rPr>
        <w:t xml:space="preserve">Inspires members to learn about pharmacy careers and practice, and assesses knowledge of drugs and their actions.</w:t>
      </w:r>
    </w:p>
    <w:p>
      <w:pPr>
        <w:pStyle w:val="Heading2"/>
        <w:spacing w:after="80" w:before="200"/>
      </w:pPr>
      <w:r>
        <w:rPr>
          <w:b/>
          <w:bCs/>
          <w:color w:val="2E74B5"/>
        </w:rPr>
        <w:t xml:space="preserve">Event Format</w:t>
      </w:r>
    </w:p>
    <w:p>
      <w:pPr>
        <w:spacing w:after="100"/>
      </w:pPr>
      <w:r>
        <w:rPr>
          <w:color w:val="222222"/>
          <w:sz w:val="21"/>
          <w:szCs w:val="21"/>
        </w:rPr>
        <w:t xml:space="preserve">Round One is a written, objective multiple-choice test taken at the qualifying (state/regional) conference. Top-scoring competitors advance to Round Two at the ILC, a second written test. Final placement is based on the Round Two score, with tie-breakers as specified.</w:t>
      </w:r>
    </w:p>
    <w:p>
      <w:pPr>
        <w:spacing w:after="60"/>
      </w:pPr>
      <w:r>
        <w:rPr>
          <w:b/>
          <w:bCs/>
          <w:color w:val="1F3864"/>
          <w:sz w:val="21"/>
          <w:szCs w:val="21"/>
        </w:rPr>
        <w:t xml:space="preserve">Typical test specifications: </w:t>
      </w:r>
      <w:r>
        <w:rPr>
          <w:color w:val="222222"/>
          <w:sz w:val="21"/>
          <w:szCs w:val="21"/>
        </w:rPr>
        <w:t xml:space="preserve">Commonly 100 multiple-choice questions in 90 minutes with a tie-breaker. Exact counts/timing are set yearly in the official guideline.</w:t>
      </w:r>
    </w:p>
    <w:p>
      <w:pPr>
        <w:pStyle w:val="Heading2"/>
        <w:spacing w:after="80" w:before="200"/>
      </w:pPr>
      <w:r>
        <w:rPr>
          <w:b/>
          <w:bCs/>
          <w:color w:val="2E74B5"/>
        </w:rPr>
        <w:t xml:space="preserve">Key Content / Topics</w:t>
      </w:r>
    </w:p>
    <w:p>
      <w:pPr>
        <w:pStyle w:val="ListParagraph"/>
        <w:numPr>
          <w:ilvl w:val="0"/>
          <w:numId w:val="1"/>
        </w:numPr>
        <w:spacing w:after="40"/>
      </w:pPr>
      <w:r>
        <w:rPr>
          <w:color w:val="222222"/>
          <w:sz w:val="21"/>
          <w:szCs w:val="21"/>
        </w:rPr>
        <w:t xml:space="preserve">Drug classifications and mechanisms of action</w:t>
      </w:r>
    </w:p>
    <w:p>
      <w:pPr>
        <w:pStyle w:val="ListParagraph"/>
        <w:numPr>
          <w:ilvl w:val="0"/>
          <w:numId w:val="1"/>
        </w:numPr>
        <w:spacing w:after="40"/>
      </w:pPr>
      <w:r>
        <w:rPr>
          <w:color w:val="222222"/>
          <w:sz w:val="21"/>
          <w:szCs w:val="21"/>
        </w:rPr>
        <w:t xml:space="preserve">Pharmacokinetics and pharmacodynamics</w:t>
      </w:r>
    </w:p>
    <w:p>
      <w:pPr>
        <w:pStyle w:val="ListParagraph"/>
        <w:numPr>
          <w:ilvl w:val="0"/>
          <w:numId w:val="1"/>
        </w:numPr>
        <w:spacing w:after="40"/>
      </w:pPr>
      <w:r>
        <w:rPr>
          <w:color w:val="222222"/>
          <w:sz w:val="21"/>
          <w:szCs w:val="21"/>
        </w:rPr>
        <w:t xml:space="preserve">Routes of administration and dosage forms</w:t>
      </w:r>
    </w:p>
    <w:p>
      <w:pPr>
        <w:pStyle w:val="ListParagraph"/>
        <w:numPr>
          <w:ilvl w:val="0"/>
          <w:numId w:val="1"/>
        </w:numPr>
        <w:spacing w:after="40"/>
      </w:pPr>
      <w:r>
        <w:rPr>
          <w:color w:val="222222"/>
          <w:sz w:val="21"/>
          <w:szCs w:val="21"/>
        </w:rPr>
        <w:t xml:space="preserve">Common medications by body system</w:t>
      </w:r>
    </w:p>
    <w:p>
      <w:pPr>
        <w:pStyle w:val="ListParagraph"/>
        <w:numPr>
          <w:ilvl w:val="0"/>
          <w:numId w:val="1"/>
        </w:numPr>
        <w:spacing w:after="40"/>
      </w:pPr>
      <w:r>
        <w:rPr>
          <w:color w:val="222222"/>
          <w:sz w:val="21"/>
          <w:szCs w:val="21"/>
        </w:rPr>
        <w:t xml:space="preserve">Side effects, interactions, and contraindications</w:t>
      </w:r>
    </w:p>
    <w:p>
      <w:pPr>
        <w:pStyle w:val="ListParagraph"/>
        <w:numPr>
          <w:ilvl w:val="0"/>
          <w:numId w:val="1"/>
        </w:numPr>
        <w:spacing w:after="40"/>
      </w:pPr>
      <w:r>
        <w:rPr>
          <w:color w:val="222222"/>
          <w:sz w:val="21"/>
          <w:szCs w:val="21"/>
        </w:rPr>
        <w:t xml:space="preserve">Drug regulation, scheduling, and safety</w:t>
      </w:r>
    </w:p>
    <w:p>
      <w:pPr>
        <w:pStyle w:val="ListParagraph"/>
        <w:numPr>
          <w:ilvl w:val="0"/>
          <w:numId w:val="1"/>
        </w:numPr>
        <w:spacing w:after="40"/>
      </w:pPr>
      <w:r>
        <w:rPr>
          <w:color w:val="222222"/>
          <w:sz w:val="21"/>
          <w:szCs w:val="21"/>
        </w:rPr>
        <w:t xml:space="preserve">Medical terminology and abbreviations in pharmacy</w:t>
      </w:r>
    </w:p>
    <w:p>
      <w:pPr>
        <w:pStyle w:val="Heading2"/>
        <w:spacing w:after="80" w:before="200"/>
      </w:pPr>
      <w:r>
        <w:rPr>
          <w:b/>
          <w:bCs/>
          <w:color w:val="2E74B5"/>
        </w:rPr>
        <w:t xml:space="preserve">Recommended References</w:t>
      </w:r>
    </w:p>
    <w:p>
      <w:pPr>
        <w:spacing w:after="100"/>
      </w:pPr>
      <w:r>
        <w:rPr>
          <w:color w:val="222222"/>
          <w:sz w:val="21"/>
          <w:szCs w:val="21"/>
        </w:rPr>
        <w:t xml:space="preserve">Pharmacology texts identified in the official event guidelines.</w:t>
      </w:r>
    </w:p>
    <w:p>
      <w:pPr>
        <w:pStyle w:val="Heading2"/>
        <w:spacing w:after="80" w:before="200"/>
      </w:pPr>
      <w:r>
        <w:rPr>
          <w:b/>
          <w:bCs/>
          <w:color w:val="2E74B5"/>
        </w:rPr>
        <w:t xml:space="preserve">Attire</w:t>
      </w:r>
    </w:p>
    <w:p>
      <w:pPr>
        <w:spacing w:after="100"/>
      </w:pPr>
      <w:r>
        <w:rPr>
          <w:color w:val="222222"/>
          <w:sz w:val="21"/>
          <w:szCs w:val="21"/>
        </w:rPr>
        <w:t xml:space="preserve">Official HOSA competition attire or appropriate business/uniform dress per the HOSA Dress Code (Appendix). Proper dress is required to receive awards.</w:t>
      </w:r>
    </w:p>
    <w:p>
      <w:pPr>
        <w:pStyle w:val="Heading2"/>
        <w:spacing w:after="80" w:before="200"/>
      </w:pPr>
      <w:r>
        <w:rPr>
          <w:b/>
          <w:bCs/>
          <w:color w:val="2E74B5"/>
        </w:rPr>
        <w:t xml:space="preserve">Scoring &amp; Tie-Breakers</w:t>
      </w:r>
    </w:p>
    <w:p>
      <w:pPr>
        <w:spacing w:after="100"/>
      </w:pPr>
      <w:r>
        <w:rPr>
          <w:color w:val="222222"/>
          <w:sz w:val="21"/>
          <w:szCs w:val="21"/>
        </w:rPr>
        <w:t xml:space="preserve">Scored on number of correct answers; a designated tie-breaker question or alternate-round score resolves ties.</w:t>
      </w:r>
    </w:p>
    <w:p>
      <w:pPr>
        <w:pStyle w:val="Heading2"/>
        <w:spacing w:after="80" w:before="200"/>
      </w:pPr>
      <w:r>
        <w:rPr>
          <w:b/>
          <w:bCs/>
          <w:color w:val="2E74B5"/>
        </w:rPr>
        <w:t xml:space="preserve">Preparation Tips</w:t>
      </w:r>
    </w:p>
    <w:p>
      <w:pPr>
        <w:pStyle w:val="ListParagraph"/>
        <w:numPr>
          <w:ilvl w:val="0"/>
          <w:numId w:val="1"/>
        </w:numPr>
        <w:spacing w:after="40"/>
      </w:pPr>
      <w:r>
        <w:rPr>
          <w:color w:val="222222"/>
          <w:sz w:val="21"/>
          <w:szCs w:val="21"/>
        </w:rPr>
        <w:t xml:space="preserve">Download the current official guideline PDF for this event and note the listed reference texts and editions.</w:t>
      </w:r>
    </w:p>
    <w:p>
      <w:pPr>
        <w:pStyle w:val="ListParagraph"/>
        <w:numPr>
          <w:ilvl w:val="0"/>
          <w:numId w:val="1"/>
        </w:numPr>
        <w:spacing w:after="40"/>
      </w:pPr>
      <w:r>
        <w:rPr>
          <w:color w:val="222222"/>
          <w:sz w:val="21"/>
          <w:szCs w:val="21"/>
        </w:rPr>
        <w:t xml:space="preserve">Build a study plan around the topic list above; use flashcards for terminology-heavy content.</w:t>
      </w:r>
    </w:p>
    <w:p>
      <w:pPr>
        <w:pStyle w:val="ListParagraph"/>
        <w:numPr>
          <w:ilvl w:val="0"/>
          <w:numId w:val="1"/>
        </w:numPr>
        <w:spacing w:after="40"/>
      </w:pPr>
      <w:r>
        <w:rPr>
          <w:color w:val="222222"/>
          <w:sz w:val="21"/>
          <w:szCs w:val="21"/>
        </w:rPr>
        <w:t xml:space="preserve">Take timed practice tests to build speed for the timed format.</w:t>
      </w:r>
    </w:p>
    <w:p>
      <w:pPr>
        <w:pStyle w:val="ListParagraph"/>
        <w:numPr>
          <w:ilvl w:val="0"/>
          <w:numId w:val="1"/>
        </w:numPr>
        <w:spacing w:after="40"/>
      </w:pPr>
      <w:r>
        <w:rPr>
          <w:color w:val="222222"/>
          <w:sz w:val="21"/>
          <w:szCs w:val="21"/>
        </w:rPr>
        <w:t xml:space="preserve">Study with a partner or team and quiz each other on high-yield topics.</w:t>
      </w:r>
    </w:p>
    <w:p>
      <w:pPr>
        <w:pStyle w:val="ListParagraph"/>
        <w:numPr>
          <w:ilvl w:val="0"/>
          <w:numId w:val="1"/>
        </w:numPr>
        <w:spacing w:after="40"/>
      </w:pPr>
      <w:r>
        <w:rPr>
          <w:color w:val="222222"/>
          <w:sz w:val="21"/>
          <w:szCs w:val="21"/>
        </w:rPr>
        <w:t xml:space="preserve">Review any released sample items and HOSA tip sheets.</w:t>
      </w:r>
    </w:p>
    <w:p>
      <w:r>
        <w:br w:type="page"/>
      </w:r>
    </w:p>
    <w:p>
      <w:pPr>
        <w:pStyle w:val="Heading1"/>
        <w:spacing w:after="120" w:before="240"/>
      </w:pPr>
      <w:r>
        <w:rPr>
          <w:b/>
          <w:bCs/>
          <w:color w:val="1F3864"/>
        </w:rPr>
        <w:t xml:space="preserve">15. World Health &amp; Disparities</w:t>
      </w:r>
    </w:p>
    <w:p>
      <w:pPr>
        <w:spacing w:after="60"/>
      </w:pPr>
      <w:r>
        <w:rPr>
          <w:b/>
          <w:bCs/>
          <w:color w:val="1F3864"/>
          <w:sz w:val="21"/>
          <w:szCs w:val="21"/>
        </w:rPr>
        <w:t xml:space="preserve">Category: </w:t>
      </w:r>
      <w:r>
        <w:rPr>
          <w:color w:val="222222"/>
          <w:sz w:val="21"/>
          <w:szCs w:val="21"/>
        </w:rPr>
        <w:t xml:space="preserve">Health Science Event (knowledge test)</w:t>
      </w:r>
    </w:p>
    <w:p>
      <w:pPr>
        <w:spacing w:after="60"/>
      </w:pPr>
      <w:r>
        <w:rPr>
          <w:b/>
          <w:bCs/>
          <w:color w:val="1F3864"/>
          <w:sz w:val="21"/>
          <w:szCs w:val="21"/>
        </w:rPr>
        <w:t xml:space="preserve">Divisions: </w:t>
      </w:r>
      <w:r>
        <w:rPr>
          <w:color w:val="222222"/>
          <w:sz w:val="21"/>
          <w:szCs w:val="21"/>
        </w:rPr>
        <w:t xml:space="preserve">Secondary (SS) and Postsecondary/Collegiate (PSC); confirm Middle School availability in current guidelines</w:t>
      </w:r>
    </w:p>
    <w:p>
      <w:pPr>
        <w:pStyle w:val="Heading2"/>
        <w:spacing w:after="80" w:before="200"/>
      </w:pPr>
      <w:r>
        <w:rPr>
          <w:b/>
          <w:bCs/>
          <w:color w:val="2E74B5"/>
        </w:rPr>
        <w:t xml:space="preserve">Purpose</w:t>
      </w:r>
    </w:p>
    <w:p>
      <w:pPr>
        <w:spacing w:after="100"/>
      </w:pPr>
      <w:r>
        <w:rPr>
          <w:color w:val="222222"/>
          <w:sz w:val="21"/>
          <w:szCs w:val="21"/>
        </w:rPr>
        <w:t xml:space="preserve">Assesses knowledge of global health issues, health equity, and the social determinants that create disparities in care.</w:t>
      </w:r>
    </w:p>
    <w:p>
      <w:pPr>
        <w:pStyle w:val="Heading2"/>
        <w:spacing w:after="80" w:before="200"/>
      </w:pPr>
      <w:r>
        <w:rPr>
          <w:b/>
          <w:bCs/>
          <w:color w:val="2E74B5"/>
        </w:rPr>
        <w:t xml:space="preserve">Event Format</w:t>
      </w:r>
    </w:p>
    <w:p>
      <w:pPr>
        <w:spacing w:after="100"/>
      </w:pPr>
      <w:r>
        <w:rPr>
          <w:color w:val="222222"/>
          <w:sz w:val="21"/>
          <w:szCs w:val="21"/>
        </w:rPr>
        <w:t xml:space="preserve">Round One is a written, objective multiple-choice test taken at the qualifying (state/regional) conference. Top-scoring competitors advance to Round Two at the ILC, a second written test. Final placement is based on the Round Two score, with tie-breakers as specified.</w:t>
      </w:r>
    </w:p>
    <w:p>
      <w:pPr>
        <w:spacing w:after="60"/>
      </w:pPr>
      <w:r>
        <w:rPr>
          <w:b/>
          <w:bCs/>
          <w:color w:val="1F3864"/>
          <w:sz w:val="21"/>
          <w:szCs w:val="21"/>
        </w:rPr>
        <w:t xml:space="preserve">Typical test specifications: </w:t>
      </w:r>
      <w:r>
        <w:rPr>
          <w:color w:val="222222"/>
          <w:sz w:val="21"/>
          <w:szCs w:val="21"/>
        </w:rPr>
        <w:t xml:space="preserve">Commonly 100 multiple-choice questions in 90 minutes with a tie-breaker. Exact counts/timing are set yearly in the official guideline.</w:t>
      </w:r>
    </w:p>
    <w:p>
      <w:pPr>
        <w:pStyle w:val="Heading2"/>
        <w:spacing w:after="80" w:before="200"/>
      </w:pPr>
      <w:r>
        <w:rPr>
          <w:b/>
          <w:bCs/>
          <w:color w:val="2E74B5"/>
        </w:rPr>
        <w:t xml:space="preserve">Key Content / Topics</w:t>
      </w:r>
    </w:p>
    <w:p>
      <w:pPr>
        <w:pStyle w:val="ListParagraph"/>
        <w:numPr>
          <w:ilvl w:val="0"/>
          <w:numId w:val="1"/>
        </w:numPr>
        <w:spacing w:after="40"/>
      </w:pPr>
      <w:r>
        <w:rPr>
          <w:color w:val="222222"/>
          <w:sz w:val="21"/>
          <w:szCs w:val="21"/>
        </w:rPr>
        <w:t xml:space="preserve">Social determinants of health</w:t>
      </w:r>
    </w:p>
    <w:p>
      <w:pPr>
        <w:pStyle w:val="ListParagraph"/>
        <w:numPr>
          <w:ilvl w:val="0"/>
          <w:numId w:val="1"/>
        </w:numPr>
        <w:spacing w:after="40"/>
      </w:pPr>
      <w:r>
        <w:rPr>
          <w:color w:val="222222"/>
          <w:sz w:val="21"/>
          <w:szCs w:val="21"/>
        </w:rPr>
        <w:t xml:space="preserve">Health equity vs. equality</w:t>
      </w:r>
    </w:p>
    <w:p>
      <w:pPr>
        <w:pStyle w:val="ListParagraph"/>
        <w:numPr>
          <w:ilvl w:val="0"/>
          <w:numId w:val="1"/>
        </w:numPr>
        <w:spacing w:after="40"/>
      </w:pPr>
      <w:r>
        <w:rPr>
          <w:color w:val="222222"/>
          <w:sz w:val="21"/>
          <w:szCs w:val="21"/>
        </w:rPr>
        <w:t xml:space="preserve">Global disease burden and epidemiology</w:t>
      </w:r>
    </w:p>
    <w:p>
      <w:pPr>
        <w:pStyle w:val="ListParagraph"/>
        <w:numPr>
          <w:ilvl w:val="0"/>
          <w:numId w:val="1"/>
        </w:numPr>
        <w:spacing w:after="40"/>
      </w:pPr>
      <w:r>
        <w:rPr>
          <w:color w:val="222222"/>
          <w:sz w:val="21"/>
          <w:szCs w:val="21"/>
        </w:rPr>
        <w:t xml:space="preserve">Cultural competence in healthcare</w:t>
      </w:r>
    </w:p>
    <w:p>
      <w:pPr>
        <w:pStyle w:val="ListParagraph"/>
        <w:numPr>
          <w:ilvl w:val="0"/>
          <w:numId w:val="1"/>
        </w:numPr>
        <w:spacing w:after="40"/>
      </w:pPr>
      <w:r>
        <w:rPr>
          <w:color w:val="222222"/>
          <w:sz w:val="21"/>
          <w:szCs w:val="21"/>
        </w:rPr>
        <w:t xml:space="preserve">Access to care and health systems worldwide</w:t>
      </w:r>
    </w:p>
    <w:p>
      <w:pPr>
        <w:pStyle w:val="ListParagraph"/>
        <w:numPr>
          <w:ilvl w:val="0"/>
          <w:numId w:val="1"/>
        </w:numPr>
        <w:spacing w:after="40"/>
      </w:pPr>
      <w:r>
        <w:rPr>
          <w:color w:val="222222"/>
          <w:sz w:val="21"/>
          <w:szCs w:val="21"/>
        </w:rPr>
        <w:t xml:space="preserve">Public health interventions and organizations (WHO)</w:t>
      </w:r>
    </w:p>
    <w:p>
      <w:pPr>
        <w:pStyle w:val="ListParagraph"/>
        <w:numPr>
          <w:ilvl w:val="0"/>
          <w:numId w:val="1"/>
        </w:numPr>
        <w:spacing w:after="40"/>
      </w:pPr>
      <w:r>
        <w:rPr>
          <w:color w:val="222222"/>
          <w:sz w:val="21"/>
          <w:szCs w:val="21"/>
        </w:rPr>
        <w:t xml:space="preserve">Ethics of global health</w:t>
      </w:r>
    </w:p>
    <w:p>
      <w:pPr>
        <w:pStyle w:val="Heading2"/>
        <w:spacing w:after="80" w:before="200"/>
      </w:pPr>
      <w:r>
        <w:rPr>
          <w:b/>
          <w:bCs/>
          <w:color w:val="2E74B5"/>
        </w:rPr>
        <w:t xml:space="preserve">Recommended References</w:t>
      </w:r>
    </w:p>
    <w:p>
      <w:pPr>
        <w:spacing w:after="100"/>
      </w:pPr>
      <w:r>
        <w:rPr>
          <w:color w:val="222222"/>
          <w:sz w:val="21"/>
          <w:szCs w:val="21"/>
        </w:rPr>
        <w:t xml:space="preserve">Global / public health reference materials identified in the official event guidelines.</w:t>
      </w:r>
    </w:p>
    <w:p>
      <w:pPr>
        <w:pStyle w:val="Heading2"/>
        <w:spacing w:after="80" w:before="200"/>
      </w:pPr>
      <w:r>
        <w:rPr>
          <w:b/>
          <w:bCs/>
          <w:color w:val="2E74B5"/>
        </w:rPr>
        <w:t xml:space="preserve">Attire</w:t>
      </w:r>
    </w:p>
    <w:p>
      <w:pPr>
        <w:spacing w:after="100"/>
      </w:pPr>
      <w:r>
        <w:rPr>
          <w:color w:val="222222"/>
          <w:sz w:val="21"/>
          <w:szCs w:val="21"/>
        </w:rPr>
        <w:t xml:space="preserve">Official HOSA competition attire or appropriate business/uniform dress per the HOSA Dress Code (Appendix). Proper dress is required to receive awards.</w:t>
      </w:r>
    </w:p>
    <w:p>
      <w:pPr>
        <w:pStyle w:val="Heading2"/>
        <w:spacing w:after="80" w:before="200"/>
      </w:pPr>
      <w:r>
        <w:rPr>
          <w:b/>
          <w:bCs/>
          <w:color w:val="2E74B5"/>
        </w:rPr>
        <w:t xml:space="preserve">Scoring &amp; Tie-Breakers</w:t>
      </w:r>
    </w:p>
    <w:p>
      <w:pPr>
        <w:spacing w:after="100"/>
      </w:pPr>
      <w:r>
        <w:rPr>
          <w:color w:val="222222"/>
          <w:sz w:val="21"/>
          <w:szCs w:val="21"/>
        </w:rPr>
        <w:t xml:space="preserve">Scored on number of correct answers; a designated tie-breaker question or alternate-round score resolves ties.</w:t>
      </w:r>
    </w:p>
    <w:p>
      <w:pPr>
        <w:pStyle w:val="Heading2"/>
        <w:spacing w:after="80" w:before="200"/>
      </w:pPr>
      <w:r>
        <w:rPr>
          <w:b/>
          <w:bCs/>
          <w:color w:val="2E74B5"/>
        </w:rPr>
        <w:t xml:space="preserve">Preparation Tips</w:t>
      </w:r>
    </w:p>
    <w:p>
      <w:pPr>
        <w:pStyle w:val="ListParagraph"/>
        <w:numPr>
          <w:ilvl w:val="0"/>
          <w:numId w:val="1"/>
        </w:numPr>
        <w:spacing w:after="40"/>
      </w:pPr>
      <w:r>
        <w:rPr>
          <w:color w:val="222222"/>
          <w:sz w:val="21"/>
          <w:szCs w:val="21"/>
        </w:rPr>
        <w:t xml:space="preserve">Download the current official guideline PDF for this event and note the listed reference texts and editions.</w:t>
      </w:r>
    </w:p>
    <w:p>
      <w:pPr>
        <w:pStyle w:val="ListParagraph"/>
        <w:numPr>
          <w:ilvl w:val="0"/>
          <w:numId w:val="1"/>
        </w:numPr>
        <w:spacing w:after="40"/>
      </w:pPr>
      <w:r>
        <w:rPr>
          <w:color w:val="222222"/>
          <w:sz w:val="21"/>
          <w:szCs w:val="21"/>
        </w:rPr>
        <w:t xml:space="preserve">Build a study plan around the topic list above; use flashcards for terminology-heavy content.</w:t>
      </w:r>
    </w:p>
    <w:p>
      <w:pPr>
        <w:pStyle w:val="ListParagraph"/>
        <w:numPr>
          <w:ilvl w:val="0"/>
          <w:numId w:val="1"/>
        </w:numPr>
        <w:spacing w:after="40"/>
      </w:pPr>
      <w:r>
        <w:rPr>
          <w:color w:val="222222"/>
          <w:sz w:val="21"/>
          <w:szCs w:val="21"/>
        </w:rPr>
        <w:t xml:space="preserve">Take timed practice tests to build speed for the timed format.</w:t>
      </w:r>
    </w:p>
    <w:p>
      <w:pPr>
        <w:pStyle w:val="ListParagraph"/>
        <w:numPr>
          <w:ilvl w:val="0"/>
          <w:numId w:val="1"/>
        </w:numPr>
        <w:spacing w:after="40"/>
      </w:pPr>
      <w:r>
        <w:rPr>
          <w:color w:val="222222"/>
          <w:sz w:val="21"/>
          <w:szCs w:val="21"/>
        </w:rPr>
        <w:t xml:space="preserve">Study with a partner or team and quiz each other on high-yield topics.</w:t>
      </w:r>
    </w:p>
    <w:p>
      <w:pPr>
        <w:pStyle w:val="ListParagraph"/>
        <w:numPr>
          <w:ilvl w:val="0"/>
          <w:numId w:val="1"/>
        </w:numPr>
        <w:spacing w:after="40"/>
      </w:pPr>
      <w:r>
        <w:rPr>
          <w:color w:val="222222"/>
          <w:sz w:val="21"/>
          <w:szCs w:val="21"/>
        </w:rPr>
        <w:t xml:space="preserve">Review any released sample items and HOSA tip sheets.</w:t>
      </w:r>
    </w:p>
    <w:p>
      <w:r>
        <w:br w:type="page"/>
      </w:r>
    </w:p>
    <w:p>
      <w:pPr>
        <w:pStyle w:val="Heading1"/>
        <w:spacing w:after="120"/>
      </w:pPr>
      <w:r>
        <w:rPr>
          <w:b/>
          <w:bCs/>
          <w:color w:val="1F3864"/>
        </w:rPr>
        <w:t xml:space="preserve">Part 2 — Academic Testing Center (ATC) Events</w:t>
      </w:r>
    </w:p>
    <w:p>
      <w:pPr>
        <w:spacing w:after="100"/>
      </w:pPr>
      <w:r>
        <w:rPr>
          <w:color w:val="222222"/>
          <w:sz w:val="21"/>
          <w:szCs w:val="21"/>
        </w:rPr>
        <w:t xml:space="preserve">The National Geographic Learning (NGL) / Cengage Academic Testing Center events are pure academic knowledge tests offered at the ILC. Each is a single-round exam on a specific college-level or advanced high-school subject.</w:t>
      </w:r>
    </w:p>
    <w:p>
      <w:pPr>
        <w:pStyle w:val="Heading2"/>
        <w:spacing w:after="80" w:before="200"/>
      </w:pPr>
      <w:r>
        <w:rPr>
          <w:b/>
          <w:bCs/>
          <w:color w:val="2E74B5"/>
        </w:rPr>
        <w:t xml:space="preserve">Common Format (applies to every ATC event)</w:t>
      </w:r>
    </w:p>
    <w:p>
      <w:pPr>
        <w:pStyle w:val="ListParagraph"/>
        <w:numPr>
          <w:ilvl w:val="0"/>
          <w:numId w:val="1"/>
        </w:numPr>
        <w:spacing w:after="40"/>
      </w:pPr>
      <w:r>
        <w:rPr>
          <w:color w:val="222222"/>
          <w:sz w:val="21"/>
          <w:szCs w:val="21"/>
        </w:rPr>
        <w:t xml:space="preserve">Format: 50 multiple-choice questions with one tie-breaker question.</w:t>
      </w:r>
    </w:p>
    <w:p>
      <w:pPr>
        <w:pStyle w:val="ListParagraph"/>
        <w:numPr>
          <w:ilvl w:val="0"/>
          <w:numId w:val="1"/>
        </w:numPr>
        <w:spacing w:after="40"/>
      </w:pPr>
      <w:r>
        <w:rPr>
          <w:color w:val="222222"/>
          <w:sz w:val="21"/>
          <w:szCs w:val="21"/>
        </w:rPr>
        <w:t xml:space="preserve">Content: drawn from the identified NGL/Cengage text or resource specific to each subject.</w:t>
      </w:r>
    </w:p>
    <w:p>
      <w:pPr>
        <w:pStyle w:val="ListParagraph"/>
        <w:numPr>
          <w:ilvl w:val="0"/>
          <w:numId w:val="1"/>
        </w:numPr>
        <w:spacing w:after="40"/>
      </w:pPr>
      <w:r>
        <w:rPr>
          <w:color w:val="222222"/>
          <w:sz w:val="21"/>
          <w:szCs w:val="21"/>
        </w:rPr>
        <w:t xml:space="preserve">Skills assessed: recognize, identify, define, interpret, and apply subject knowledge.</w:t>
      </w:r>
    </w:p>
    <w:p>
      <w:pPr>
        <w:pStyle w:val="ListParagraph"/>
        <w:numPr>
          <w:ilvl w:val="0"/>
          <w:numId w:val="1"/>
        </w:numPr>
        <w:spacing w:after="40"/>
      </w:pPr>
      <w:r>
        <w:rPr>
          <w:color w:val="222222"/>
          <w:sz w:val="21"/>
          <w:szCs w:val="21"/>
        </w:rPr>
        <w:t xml:space="preserve">Eligibility: Secondary, Postsecondary/Collegiate, and Alumni divisions.</w:t>
      </w:r>
    </w:p>
    <w:p>
      <w:pPr>
        <w:pStyle w:val="ListParagraph"/>
        <w:numPr>
          <w:ilvl w:val="0"/>
          <w:numId w:val="1"/>
        </w:numPr>
        <w:spacing w:after="40"/>
      </w:pPr>
      <w:r>
        <w:rPr>
          <w:color w:val="222222"/>
          <w:sz w:val="21"/>
          <w:szCs w:val="21"/>
        </w:rPr>
        <w:t xml:space="preserve">Registration: ILC registration includes one ATC test; additional tests are available for a per-test fee.</w:t>
      </w:r>
    </w:p>
    <w:p>
      <w:pPr>
        <w:pStyle w:val="ListParagraph"/>
        <w:numPr>
          <w:ilvl w:val="0"/>
          <w:numId w:val="1"/>
        </w:numPr>
        <w:spacing w:after="40"/>
      </w:pPr>
      <w:r>
        <w:rPr>
          <w:color w:val="222222"/>
          <w:sz w:val="21"/>
          <w:szCs w:val="21"/>
        </w:rPr>
        <w:t xml:space="preserve">Calculators: provided at ILC for Allied Health Statistics, Math for Health Professionals, Anatomy &amp; Physiology, Biochemistry, General Chemistry, Organic Chemistry, and Physics (basic handheld calculators are provided at ILC).</w:t>
      </w:r>
    </w:p>
    <w:p>
      <w:pPr>
        <w:pStyle w:val="Heading2"/>
        <w:spacing w:after="80" w:before="200"/>
      </w:pPr>
      <w:r>
        <w:rPr>
          <w:b/>
          <w:bCs/>
          <w:color w:val="2E74B5"/>
        </w:rPr>
        <w:t xml:space="preserve">ATC Subjects</w:t>
      </w:r>
    </w:p>
    <w:p>
      <w:pPr>
        <w:spacing w:after="100"/>
      </w:pPr>
      <w:r>
        <w:rPr>
          <w:color w:val="222222"/>
          <w:sz w:val="21"/>
          <w:szCs w:val="21"/>
        </w:rPr>
        <w:t xml:space="preserve">The academic subjects offered in the ATC series include the following (confirm the exact current-year lineup and reference texts in the official ATC guideline):</w:t>
      </w:r>
    </w:p>
    <w:p>
      <w:pPr>
        <w:pStyle w:val="ListParagraph"/>
        <w:numPr>
          <w:ilvl w:val="0"/>
          <w:numId w:val="1"/>
        </w:numPr>
        <w:spacing w:after="30"/>
      </w:pPr>
      <w:r>
        <w:rPr>
          <w:color w:val="222222"/>
          <w:sz w:val="21"/>
          <w:szCs w:val="21"/>
        </w:rPr>
        <w:t xml:space="preserve">Allied Health Statistics</w:t>
      </w:r>
    </w:p>
    <w:p>
      <w:pPr>
        <w:pStyle w:val="ListParagraph"/>
        <w:numPr>
          <w:ilvl w:val="0"/>
          <w:numId w:val="1"/>
        </w:numPr>
        <w:spacing w:after="30"/>
      </w:pPr>
      <w:r>
        <w:rPr>
          <w:color w:val="222222"/>
          <w:sz w:val="21"/>
          <w:szCs w:val="21"/>
        </w:rPr>
        <w:t xml:space="preserve">Anatomy &amp; Physiology</w:t>
      </w:r>
    </w:p>
    <w:p>
      <w:pPr>
        <w:pStyle w:val="ListParagraph"/>
        <w:numPr>
          <w:ilvl w:val="0"/>
          <w:numId w:val="1"/>
        </w:numPr>
        <w:spacing w:after="30"/>
      </w:pPr>
      <w:r>
        <w:rPr>
          <w:color w:val="222222"/>
          <w:sz w:val="21"/>
          <w:szCs w:val="21"/>
        </w:rPr>
        <w:t xml:space="preserve">Biochemistry</w:t>
      </w:r>
    </w:p>
    <w:p>
      <w:pPr>
        <w:pStyle w:val="ListParagraph"/>
        <w:numPr>
          <w:ilvl w:val="0"/>
          <w:numId w:val="1"/>
        </w:numPr>
        <w:spacing w:after="30"/>
      </w:pPr>
      <w:r>
        <w:rPr>
          <w:color w:val="222222"/>
          <w:sz w:val="21"/>
          <w:szCs w:val="21"/>
        </w:rPr>
        <w:t xml:space="preserve">Biology</w:t>
      </w:r>
    </w:p>
    <w:p>
      <w:pPr>
        <w:pStyle w:val="ListParagraph"/>
        <w:numPr>
          <w:ilvl w:val="0"/>
          <w:numId w:val="1"/>
        </w:numPr>
        <w:spacing w:after="30"/>
      </w:pPr>
      <w:r>
        <w:rPr>
          <w:color w:val="222222"/>
          <w:sz w:val="21"/>
          <w:szCs w:val="21"/>
        </w:rPr>
        <w:t xml:space="preserve">Cell Biology &amp; Histology</w:t>
      </w:r>
    </w:p>
    <w:p>
      <w:pPr>
        <w:pStyle w:val="ListParagraph"/>
        <w:numPr>
          <w:ilvl w:val="0"/>
          <w:numId w:val="1"/>
        </w:numPr>
        <w:spacing w:after="30"/>
      </w:pPr>
      <w:r>
        <w:rPr>
          <w:color w:val="222222"/>
          <w:sz w:val="21"/>
          <w:szCs w:val="21"/>
        </w:rPr>
        <w:t xml:space="preserve">Exercise Science / Sports Medicine</w:t>
      </w:r>
    </w:p>
    <w:p>
      <w:pPr>
        <w:pStyle w:val="ListParagraph"/>
        <w:numPr>
          <w:ilvl w:val="0"/>
          <w:numId w:val="1"/>
        </w:numPr>
        <w:spacing w:after="30"/>
      </w:pPr>
      <w:r>
        <w:rPr>
          <w:color w:val="222222"/>
          <w:sz w:val="21"/>
          <w:szCs w:val="21"/>
        </w:rPr>
        <w:t xml:space="preserve">General Chemistry</w:t>
      </w:r>
    </w:p>
    <w:p>
      <w:pPr>
        <w:pStyle w:val="ListParagraph"/>
        <w:numPr>
          <w:ilvl w:val="0"/>
          <w:numId w:val="1"/>
        </w:numPr>
        <w:spacing w:after="30"/>
      </w:pPr>
      <w:r>
        <w:rPr>
          <w:color w:val="222222"/>
          <w:sz w:val="21"/>
          <w:szCs w:val="21"/>
        </w:rPr>
        <w:t xml:space="preserve">Human Heredity (Genetics)</w:t>
      </w:r>
    </w:p>
    <w:p>
      <w:pPr>
        <w:pStyle w:val="ListParagraph"/>
        <w:numPr>
          <w:ilvl w:val="0"/>
          <w:numId w:val="1"/>
        </w:numPr>
        <w:spacing w:after="30"/>
      </w:pPr>
      <w:r>
        <w:rPr>
          <w:color w:val="222222"/>
          <w:sz w:val="21"/>
          <w:szCs w:val="21"/>
        </w:rPr>
        <w:t xml:space="preserve">Math for Health Professionals</w:t>
      </w:r>
    </w:p>
    <w:p>
      <w:pPr>
        <w:pStyle w:val="ListParagraph"/>
        <w:numPr>
          <w:ilvl w:val="0"/>
          <w:numId w:val="1"/>
        </w:numPr>
        <w:spacing w:after="30"/>
      </w:pPr>
      <w:r>
        <w:rPr>
          <w:color w:val="222222"/>
          <w:sz w:val="21"/>
          <w:szCs w:val="21"/>
        </w:rPr>
        <w:t xml:space="preserve">Medical Terminology (Academic)</w:t>
      </w:r>
    </w:p>
    <w:p>
      <w:pPr>
        <w:pStyle w:val="ListParagraph"/>
        <w:numPr>
          <w:ilvl w:val="0"/>
          <w:numId w:val="1"/>
        </w:numPr>
        <w:spacing w:after="30"/>
      </w:pPr>
      <w:r>
        <w:rPr>
          <w:color w:val="222222"/>
          <w:sz w:val="21"/>
          <w:szCs w:val="21"/>
        </w:rPr>
        <w:t xml:space="preserve">Microbiology</w:t>
      </w:r>
    </w:p>
    <w:p>
      <w:pPr>
        <w:pStyle w:val="ListParagraph"/>
        <w:numPr>
          <w:ilvl w:val="0"/>
          <w:numId w:val="1"/>
        </w:numPr>
        <w:spacing w:after="30"/>
      </w:pPr>
      <w:r>
        <w:rPr>
          <w:color w:val="222222"/>
          <w:sz w:val="21"/>
          <w:szCs w:val="21"/>
        </w:rPr>
        <w:t xml:space="preserve">Nutrition (Academic)</w:t>
      </w:r>
    </w:p>
    <w:p>
      <w:pPr>
        <w:pStyle w:val="ListParagraph"/>
        <w:numPr>
          <w:ilvl w:val="0"/>
          <w:numId w:val="1"/>
        </w:numPr>
        <w:spacing w:after="30"/>
      </w:pPr>
      <w:r>
        <w:rPr>
          <w:color w:val="222222"/>
          <w:sz w:val="21"/>
          <w:szCs w:val="21"/>
        </w:rPr>
        <w:t xml:space="preserve">Organic Chemistry</w:t>
      </w:r>
    </w:p>
    <w:p>
      <w:pPr>
        <w:pStyle w:val="ListParagraph"/>
        <w:numPr>
          <w:ilvl w:val="0"/>
          <w:numId w:val="1"/>
        </w:numPr>
        <w:spacing w:after="30"/>
      </w:pPr>
      <w:r>
        <w:rPr>
          <w:color w:val="222222"/>
          <w:sz w:val="21"/>
          <w:szCs w:val="21"/>
        </w:rPr>
        <w:t xml:space="preserve">Pharmacology (Academic)</w:t>
      </w:r>
    </w:p>
    <w:p>
      <w:pPr>
        <w:pStyle w:val="ListParagraph"/>
        <w:numPr>
          <w:ilvl w:val="0"/>
          <w:numId w:val="1"/>
        </w:numPr>
        <w:spacing w:after="30"/>
      </w:pPr>
      <w:r>
        <w:rPr>
          <w:color w:val="222222"/>
          <w:sz w:val="21"/>
          <w:szCs w:val="21"/>
        </w:rPr>
        <w:t xml:space="preserve">Physics</w:t>
      </w:r>
    </w:p>
    <w:p>
      <w:pPr>
        <w:pStyle w:val="ListParagraph"/>
        <w:numPr>
          <w:ilvl w:val="0"/>
          <w:numId w:val="1"/>
        </w:numPr>
        <w:spacing w:after="30"/>
      </w:pPr>
      <w:r>
        <w:rPr>
          <w:color w:val="222222"/>
          <w:sz w:val="21"/>
          <w:szCs w:val="21"/>
        </w:rPr>
        <w:t xml:space="preserve">Psychology</w:t>
      </w:r>
    </w:p>
    <w:p>
      <w:pPr>
        <w:pStyle w:val="ListParagraph"/>
        <w:numPr>
          <w:ilvl w:val="0"/>
          <w:numId w:val="1"/>
        </w:numPr>
        <w:spacing w:after="30"/>
      </w:pPr>
      <w:r>
        <w:rPr>
          <w:color w:val="222222"/>
          <w:sz w:val="21"/>
          <w:szCs w:val="21"/>
        </w:rPr>
        <w:t xml:space="preserve">Sociology</w:t>
      </w:r>
    </w:p>
    <w:p>
      <w:pPr>
        <w:pStyle w:val="Heading2"/>
        <w:spacing w:after="80" w:before="200"/>
      </w:pPr>
      <w:r>
        <w:rPr>
          <w:b/>
          <w:bCs/>
          <w:color w:val="2E74B5"/>
        </w:rPr>
        <w:t xml:space="preserve">ATC Preparation Tips</w:t>
      </w:r>
    </w:p>
    <w:p>
      <w:pPr>
        <w:pStyle w:val="ListParagraph"/>
        <w:numPr>
          <w:ilvl w:val="0"/>
          <w:numId w:val="1"/>
        </w:numPr>
        <w:spacing w:after="40"/>
      </w:pPr>
      <w:r>
        <w:rPr>
          <w:color w:val="222222"/>
          <w:sz w:val="21"/>
          <w:szCs w:val="21"/>
        </w:rPr>
        <w:t xml:space="preserve">Identify the exact NGL/Cengage textbook listed for your chosen subject and study from that edition.</w:t>
      </w:r>
    </w:p>
    <w:p>
      <w:pPr>
        <w:pStyle w:val="ListParagraph"/>
        <w:numPr>
          <w:ilvl w:val="0"/>
          <w:numId w:val="1"/>
        </w:numPr>
        <w:spacing w:after="40"/>
      </w:pPr>
      <w:r>
        <w:rPr>
          <w:color w:val="222222"/>
          <w:sz w:val="21"/>
          <w:szCs w:val="21"/>
        </w:rPr>
        <w:t xml:space="preserve">Because ATC tests are college-level, align prep with an equivalent AP or introductory college course.</w:t>
      </w:r>
    </w:p>
    <w:p>
      <w:pPr>
        <w:pStyle w:val="ListParagraph"/>
        <w:numPr>
          <w:ilvl w:val="0"/>
          <w:numId w:val="1"/>
        </w:numPr>
        <w:spacing w:after="40"/>
      </w:pPr>
      <w:r>
        <w:rPr>
          <w:color w:val="222222"/>
          <w:sz w:val="21"/>
          <w:szCs w:val="21"/>
        </w:rPr>
        <w:t xml:space="preserve">Practice with the subject's end-of-chapter questions and released item samples.</w:t>
      </w:r>
    </w:p>
    <w:p>
      <w:pPr>
        <w:pStyle w:val="ListParagraph"/>
        <w:numPr>
          <w:ilvl w:val="0"/>
          <w:numId w:val="1"/>
        </w:numPr>
        <w:spacing w:after="40"/>
      </w:pPr>
      <w:r>
        <w:rPr>
          <w:color w:val="222222"/>
          <w:sz w:val="21"/>
          <w:szCs w:val="21"/>
        </w:rPr>
        <w:t xml:space="preserve">For calculation subjects, practice with a basic 4-function + square-root calculator like the one provided.</w:t>
      </w:r>
    </w:p>
    <w:p>
      <w:pPr>
        <w:pStyle w:val="ListParagraph"/>
        <w:numPr>
          <w:ilvl w:val="0"/>
          <w:numId w:val="1"/>
        </w:numPr>
        <w:spacing w:after="40"/>
      </w:pPr>
      <w:r>
        <w:rPr>
          <w:color w:val="222222"/>
          <w:sz w:val="21"/>
          <w:szCs w:val="21"/>
        </w:rPr>
        <w:t xml:space="preserve">Choose a subject that matches a class you are already taking to maximize overlap.</w:t>
      </w:r>
    </w:p>
    <w:p>
      <w:r>
        <w:br w:type="page"/>
      </w:r>
    </w:p>
    <w:p>
      <w:pPr>
        <w:pStyle w:val="Heading1"/>
        <w:spacing w:after="120" w:before="240"/>
      </w:pPr>
      <w:r>
        <w:rPr>
          <w:b/>
          <w:bCs/>
          <w:color w:val="1F3864"/>
        </w:rPr>
        <w:t xml:space="preserve">Verify Before You Compete</w:t>
      </w:r>
    </w:p>
    <w:p>
      <w:pPr>
        <w:spacing w:after="100"/>
      </w:pPr>
      <w:r>
        <w:rPr>
          <w:color w:val="222222"/>
          <w:sz w:val="21"/>
          <w:szCs w:val="21"/>
        </w:rPr>
        <w:t xml:space="preserve">This document is a study and advising aid, not the official rulebook. HOSA revises events annually and individual states may modify or restrict events. Before competing, always download the current official guideline for each event and read the General Rules &amp; Regulations and Dress Code appendices.</w:t>
      </w:r>
    </w:p>
    <w:p>
      <w:pPr>
        <w:pStyle w:val="Heading2"/>
        <w:spacing w:after="80" w:before="200"/>
      </w:pPr>
      <w:r>
        <w:rPr>
          <w:b/>
          <w:bCs/>
          <w:color w:val="2E74B5"/>
        </w:rPr>
        <w:t xml:space="preserve">Where to find the official guidelines</w:t>
      </w:r>
    </w:p>
    <w:p>
      <w:pPr>
        <w:pStyle w:val="ListParagraph"/>
        <w:numPr>
          <w:ilvl w:val="0"/>
          <w:numId w:val="1"/>
        </w:numPr>
        <w:spacing w:after="40"/>
      </w:pPr>
      <w:r>
        <w:rPr>
          <w:color w:val="222222"/>
          <w:sz w:val="21"/>
          <w:szCs w:val="21"/>
        </w:rPr>
        <w:t xml:space="preserve">HOSA Competitive Event Guidelines: hosa.org/guidelines</w:t>
      </w:r>
    </w:p>
    <w:p>
      <w:pPr>
        <w:pStyle w:val="ListParagraph"/>
        <w:numPr>
          <w:ilvl w:val="0"/>
          <w:numId w:val="1"/>
        </w:numPr>
        <w:spacing w:after="40"/>
      </w:pPr>
      <w:r>
        <w:rPr>
          <w:color w:val="222222"/>
          <w:sz w:val="21"/>
          <w:szCs w:val="21"/>
        </w:rPr>
        <w:t xml:space="preserve">2025–2026 Event Codes list: hosa.org (Event Codes PDF)</w:t>
      </w:r>
    </w:p>
    <w:p>
      <w:pPr>
        <w:pStyle w:val="ListParagraph"/>
        <w:numPr>
          <w:ilvl w:val="0"/>
          <w:numId w:val="1"/>
        </w:numPr>
        <w:spacing w:after="40"/>
      </w:pPr>
      <w:r>
        <w:rPr>
          <w:color w:val="222222"/>
          <w:sz w:val="21"/>
          <w:szCs w:val="21"/>
        </w:rPr>
        <w:t xml:space="preserve">Your state HOSA association's competitive events page for state-specific rules.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b/>
      <w:bCs/>
      <w:color w:val="1F3864"/>
      <w:sz w:val="30"/>
      <w:szCs w:val="30"/>
    </w:rPr>
  </w:style>
  <w:style w:type="paragraph" w:styleId="Heading2">
    <w:name w:val="Heading 2"/>
    <w:basedOn w:val="Normal"/>
    <w:next w:val="Normal"/>
    <w:qFormat/>
    <w:pPr>
      <w:spacing w:after="60" w:before="160"/>
    </w:pPr>
    <w:rPr>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2026-07-15T03:27:33.073Z</dcterms:created>
  <dcterms:modified xsi:type="dcterms:W3CDTF">2026-07-15T03:27:33.078Z</dcterms:modified>
</cp:coreProperties>
</file>

<file path=docProps/custom.xml><?xml version="1.0" encoding="utf-8"?>
<Properties xmlns="http://schemas.openxmlformats.org/officeDocument/2006/custom-properties" xmlns:vt="http://schemas.openxmlformats.org/officeDocument/2006/docPropsVTypes"/>
</file>