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Medical Terminology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50 multiple-choice items in a maximum of 60 minutes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Twenty (20) tie-breaker questions administered with the original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Test Plan (content weighting)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Roots, Prefixes, Suffixes, and Combining Forms — 45%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Overview of the Body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Skeletal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Muscular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Respiratory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Digestive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Cardiovascular &amp; Lymphatic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Nervous / Special Senses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(Remaining body systems distributed per the official test plan)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Prefixes, suffixes, combining forms, word building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Terminology by body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Anatomy and physiology basics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Pathophysiology and disease terms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Diagnostic, procedural, pharmacological terms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Abbreviations and symbols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Ehrlich, Medical Terminology for Health Professions, Cengage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Taber's Cyclopedic Medical Dictionary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Stanhope &amp; Turnbull, Introduction to Medical Terminology, Goodheart-Willcox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Dean Vaughn's Medical Terminology by Body Systems, Peterson's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Allocate study time proportional to the test-plan percentages above.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4zzoo0yz51clooiuyfp1t">
        <w:r>
          <w:rPr>
            <w:color w:val="0563C1"/>
            <w:sz w:val="21"/>
            <w:szCs w:val="21"/>
            <w:u w:val="single"/>
          </w:rPr>
          <w:t xml:space="preserve">Medical Terminology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zzoo0yz51clooiuyfp1t" Type="http://schemas.openxmlformats.org/officeDocument/2006/relationships/hyperlink" Target="https://hosa.org/wp-content/uploads/2025/08/25-26-MT-Aug30.pd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2026-07-15T03:41:48.092Z</dcterms:created>
  <dcterms:modified xsi:type="dcterms:W3CDTF">2026-07-15T03:41:48.092Z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