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18"/>
          <w:szCs w:val="18"/>
        </w:rPr>
        <w:t xml:space="preserve">HOSA – Future Health Professionals</w:t>
      </w:r>
    </w:p>
    <w:p>
      <w:pPr>
        <w:pStyle w:val="Heading1"/>
        <w:spacing w:after="100" w:before="200"/>
      </w:pPr>
      <w:r>
        <w:rPr>
          <w:b/>
          <w:bCs/>
          <w:color w:val="1F3864"/>
        </w:rPr>
        <w:t xml:space="preserve">Academic Testing Center (ATC) Events</w:t>
      </w:r>
    </w:p>
    <w:p>
      <w:pPr>
        <w:pBdr>
          <w:bottom w:val="single" w:color="2E74B5" w:sz="12" w:space="1"/>
        </w:pBdr>
        <w:spacing w:after="140"/>
      </w:pPr>
    </w:p>
    <w:p>
      <w:pPr>
        <w:spacing w:after="100"/>
      </w:pPr>
      <w:r>
        <w:rPr>
          <w:color w:val="222222"/>
          <w:sz w:val="21"/>
          <w:szCs w:val="21"/>
        </w:rPr>
        <w:t xml:space="preserve">The National Geographic Learning (NGL) / Cengage Academic Testing Center events are single-round academic knowledge tests offered at the International Leadership Conference. They share one common format and differ only by academic subject and its identified reference text. HOSA groups all ATC subjects under one guideline, so they are documented together here.</w:t>
      </w:r>
    </w:p>
    <w:p>
      <w:pPr>
        <w:spacing w:after="60"/>
      </w:pPr>
      <w:r>
        <w:rPr>
          <w:b/>
          <w:bCs/>
          <w:color w:val="1F3864"/>
          <w:sz w:val="21"/>
          <w:szCs w:val="21"/>
        </w:rPr>
        <w:t xml:space="preserve">Category: </w:t>
      </w:r>
      <w:r>
        <w:rPr>
          <w:color w:val="222222"/>
          <w:sz w:val="21"/>
          <w:szCs w:val="21"/>
        </w:rPr>
        <w:t xml:space="preserve">NGL Academic Testing Center (knowledge test)</w:t>
      </w:r>
    </w:p>
    <w:p>
      <w:pPr>
        <w:spacing w:after="60"/>
      </w:pPr>
      <w:r>
        <w:rPr>
          <w:b/>
          <w:bCs/>
          <w:color w:val="1F3864"/>
          <w:sz w:val="21"/>
          <w:szCs w:val="21"/>
        </w:rPr>
        <w:t xml:space="preserve">Eligible divisions: </w:t>
      </w:r>
      <w:r>
        <w:rPr>
          <w:color w:val="222222"/>
          <w:sz w:val="21"/>
          <w:szCs w:val="21"/>
        </w:rPr>
        <w:t xml:space="preserve">Secondary (SS), Postsecondary/Collegiate (PSC), and Alumni</w:t>
      </w:r>
    </w:p>
    <w:p>
      <w:pPr>
        <w:spacing w:after="60"/>
      </w:pPr>
      <w:r>
        <w:rPr>
          <w:b/>
          <w:bCs/>
          <w:color w:val="1F3864"/>
          <w:sz w:val="21"/>
          <w:szCs w:val="21"/>
        </w:rPr>
        <w:t xml:space="preserve">Data status: </w:t>
      </w:r>
      <w:r>
        <w:rPr>
          <w:color w:val="2E7D32"/>
          <w:sz w:val="21"/>
          <w:szCs w:val="21"/>
        </w:rPr>
        <w:t xml:space="preserve">Format verified against 2025–2026 sources</w:t>
      </w:r>
    </w:p>
    <w:p>
      <w:pPr>
        <w:pStyle w:val="Heading2"/>
        <w:spacing w:after="60" w:before="180"/>
      </w:pPr>
      <w:r>
        <w:rPr>
          <w:b/>
          <w:bCs/>
          <w:color w:val="2E74B5"/>
        </w:rPr>
        <w:t xml:space="preserve">Common Format (every ATC subject)</w:t>
      </w:r>
    </w:p>
    <w:p>
      <w:pPr>
        <w:pStyle w:val="ListParagraph"/>
        <w:numPr>
          <w:ilvl w:val="0"/>
          <w:numId w:val="1"/>
        </w:numPr>
        <w:spacing w:after="40"/>
      </w:pPr>
      <w:r>
        <w:rPr>
          <w:color w:val="222222"/>
          <w:sz w:val="21"/>
          <w:szCs w:val="21"/>
        </w:rPr>
        <w:t xml:space="preserve">50 multiple-choice questions with one tie-breaker question.</w:t>
      </w:r>
    </w:p>
    <w:p>
      <w:pPr>
        <w:pStyle w:val="ListParagraph"/>
        <w:numPr>
          <w:ilvl w:val="0"/>
          <w:numId w:val="1"/>
        </w:numPr>
        <w:spacing w:after="40"/>
      </w:pPr>
      <w:r>
        <w:rPr>
          <w:color w:val="222222"/>
          <w:sz w:val="21"/>
          <w:szCs w:val="21"/>
        </w:rPr>
        <w:t xml:space="preserve">Skills assessed: recognize, identify, define, interpret, and apply subject knowledge.</w:t>
      </w:r>
    </w:p>
    <w:p>
      <w:pPr>
        <w:pStyle w:val="ListParagraph"/>
        <w:numPr>
          <w:ilvl w:val="0"/>
          <w:numId w:val="1"/>
        </w:numPr>
        <w:spacing w:after="40"/>
      </w:pPr>
      <w:r>
        <w:rPr>
          <w:color w:val="222222"/>
          <w:sz w:val="21"/>
          <w:szCs w:val="21"/>
        </w:rPr>
        <w:t xml:space="preserve">Questions are drawn from the identified NGL/Cengage text or resource for each subject.</w:t>
      </w:r>
    </w:p>
    <w:p>
      <w:pPr>
        <w:pStyle w:val="ListParagraph"/>
        <w:numPr>
          <w:ilvl w:val="0"/>
          <w:numId w:val="1"/>
        </w:numPr>
        <w:spacing w:after="40"/>
      </w:pPr>
      <w:r>
        <w:rPr>
          <w:color w:val="222222"/>
          <w:sz w:val="21"/>
          <w:szCs w:val="21"/>
        </w:rPr>
        <w:t xml:space="preserve">ILC registration includes one ATC test; additional tests are available for a per-test fee (approx. $20 each).</w:t>
      </w:r>
    </w:p>
    <w:p>
      <w:pPr>
        <w:pStyle w:val="ListParagraph"/>
        <w:numPr>
          <w:ilvl w:val="0"/>
          <w:numId w:val="1"/>
        </w:numPr>
        <w:spacing w:after="40"/>
      </w:pPr>
      <w:r>
        <w:rPr>
          <w:color w:val="222222"/>
          <w:sz w:val="21"/>
          <w:szCs w:val="21"/>
        </w:rPr>
        <w:t xml:space="preserve">Basic handheld calculators are provided at ILC for: Allied Health Statistics, Math for Health Professionals, Anatomy &amp; Physiology, Biochemistry, General Chemistry, Organic Chemistry, and Physics.</w:t>
      </w:r>
    </w:p>
    <w:p>
      <w:pPr>
        <w:pStyle w:val="Heading2"/>
        <w:spacing w:after="60" w:before="180"/>
      </w:pPr>
      <w:r>
        <w:rPr>
          <w:b/>
          <w:bCs/>
          <w:color w:val="2E74B5"/>
        </w:rPr>
        <w:t xml:space="preserve">ATC Subjects Offered</w:t>
      </w:r>
    </w:p>
    <w:p>
      <w:pPr>
        <w:spacing w:after="100"/>
      </w:pPr>
      <w:r>
        <w:rPr>
          <w:color w:val="222222"/>
          <w:sz w:val="21"/>
          <w:szCs w:val="21"/>
        </w:rPr>
        <w:t xml:space="preserve">Confirm the exact current-year lineup and the required reference text for each subject in the official ATC guideline:</w:t>
      </w:r>
    </w:p>
    <w:p>
      <w:pPr>
        <w:pStyle w:val="ListParagraph"/>
        <w:numPr>
          <w:ilvl w:val="0"/>
          <w:numId w:val="1"/>
        </w:numPr>
        <w:spacing w:after="40"/>
      </w:pPr>
      <w:r>
        <w:rPr>
          <w:color w:val="222222"/>
          <w:sz w:val="21"/>
          <w:szCs w:val="21"/>
        </w:rPr>
        <w:t xml:space="preserve">Allied Health Statistics</w:t>
      </w:r>
    </w:p>
    <w:p>
      <w:pPr>
        <w:pStyle w:val="ListParagraph"/>
        <w:numPr>
          <w:ilvl w:val="0"/>
          <w:numId w:val="1"/>
        </w:numPr>
        <w:spacing w:after="40"/>
      </w:pPr>
      <w:r>
        <w:rPr>
          <w:color w:val="222222"/>
          <w:sz w:val="21"/>
          <w:szCs w:val="21"/>
        </w:rPr>
        <w:t xml:space="preserve">Anatomy &amp; Physiology</w:t>
      </w:r>
    </w:p>
    <w:p>
      <w:pPr>
        <w:pStyle w:val="ListParagraph"/>
        <w:numPr>
          <w:ilvl w:val="0"/>
          <w:numId w:val="1"/>
        </w:numPr>
        <w:spacing w:after="40"/>
      </w:pPr>
      <w:r>
        <w:rPr>
          <w:color w:val="222222"/>
          <w:sz w:val="21"/>
          <w:szCs w:val="21"/>
        </w:rPr>
        <w:t xml:space="preserve">Biochemistry</w:t>
      </w:r>
    </w:p>
    <w:p>
      <w:pPr>
        <w:pStyle w:val="ListParagraph"/>
        <w:numPr>
          <w:ilvl w:val="0"/>
          <w:numId w:val="1"/>
        </w:numPr>
        <w:spacing w:after="40"/>
      </w:pPr>
      <w:r>
        <w:rPr>
          <w:color w:val="222222"/>
          <w:sz w:val="21"/>
          <w:szCs w:val="21"/>
        </w:rPr>
        <w:t xml:space="preserve">Biology</w:t>
      </w:r>
    </w:p>
    <w:p>
      <w:pPr>
        <w:pStyle w:val="ListParagraph"/>
        <w:numPr>
          <w:ilvl w:val="0"/>
          <w:numId w:val="1"/>
        </w:numPr>
        <w:spacing w:after="40"/>
      </w:pPr>
      <w:r>
        <w:rPr>
          <w:color w:val="222222"/>
          <w:sz w:val="21"/>
          <w:szCs w:val="21"/>
        </w:rPr>
        <w:t xml:space="preserve">Cell Biology &amp; Histology</w:t>
      </w:r>
    </w:p>
    <w:p>
      <w:pPr>
        <w:pStyle w:val="ListParagraph"/>
        <w:numPr>
          <w:ilvl w:val="0"/>
          <w:numId w:val="1"/>
        </w:numPr>
        <w:spacing w:after="40"/>
      </w:pPr>
      <w:r>
        <w:rPr>
          <w:color w:val="222222"/>
          <w:sz w:val="21"/>
          <w:szCs w:val="21"/>
        </w:rPr>
        <w:t xml:space="preserve">Exercise Science</w:t>
      </w:r>
    </w:p>
    <w:p>
      <w:pPr>
        <w:pStyle w:val="ListParagraph"/>
        <w:numPr>
          <w:ilvl w:val="0"/>
          <w:numId w:val="1"/>
        </w:numPr>
        <w:spacing w:after="40"/>
      </w:pPr>
      <w:r>
        <w:rPr>
          <w:color w:val="222222"/>
          <w:sz w:val="21"/>
          <w:szCs w:val="21"/>
        </w:rPr>
        <w:t xml:space="preserve">General Chemistry</w:t>
      </w:r>
    </w:p>
    <w:p>
      <w:pPr>
        <w:pStyle w:val="ListParagraph"/>
        <w:numPr>
          <w:ilvl w:val="0"/>
          <w:numId w:val="1"/>
        </w:numPr>
        <w:spacing w:after="40"/>
      </w:pPr>
      <w:r>
        <w:rPr>
          <w:color w:val="222222"/>
          <w:sz w:val="21"/>
          <w:szCs w:val="21"/>
        </w:rPr>
        <w:t xml:space="preserve">Human Heredity (Genetics)</w:t>
      </w:r>
    </w:p>
    <w:p>
      <w:pPr>
        <w:pStyle w:val="ListParagraph"/>
        <w:numPr>
          <w:ilvl w:val="0"/>
          <w:numId w:val="1"/>
        </w:numPr>
        <w:spacing w:after="40"/>
      </w:pPr>
      <w:r>
        <w:rPr>
          <w:color w:val="222222"/>
          <w:sz w:val="21"/>
          <w:szCs w:val="21"/>
        </w:rPr>
        <w:t xml:space="preserve">Math for Health Professionals</w:t>
      </w:r>
    </w:p>
    <w:p>
      <w:pPr>
        <w:pStyle w:val="ListParagraph"/>
        <w:numPr>
          <w:ilvl w:val="0"/>
          <w:numId w:val="1"/>
        </w:numPr>
        <w:spacing w:after="40"/>
      </w:pPr>
      <w:r>
        <w:rPr>
          <w:color w:val="222222"/>
          <w:sz w:val="21"/>
          <w:szCs w:val="21"/>
        </w:rPr>
        <w:t xml:space="preserve">Medical Terminology (Academic)</w:t>
      </w:r>
    </w:p>
    <w:p>
      <w:pPr>
        <w:pStyle w:val="ListParagraph"/>
        <w:numPr>
          <w:ilvl w:val="0"/>
          <w:numId w:val="1"/>
        </w:numPr>
        <w:spacing w:after="40"/>
      </w:pPr>
      <w:r>
        <w:rPr>
          <w:color w:val="222222"/>
          <w:sz w:val="21"/>
          <w:szCs w:val="21"/>
        </w:rPr>
        <w:t xml:space="preserve">Microbiology</w:t>
      </w:r>
    </w:p>
    <w:p>
      <w:pPr>
        <w:pStyle w:val="ListParagraph"/>
        <w:numPr>
          <w:ilvl w:val="0"/>
          <w:numId w:val="1"/>
        </w:numPr>
        <w:spacing w:after="40"/>
      </w:pPr>
      <w:r>
        <w:rPr>
          <w:color w:val="222222"/>
          <w:sz w:val="21"/>
          <w:szCs w:val="21"/>
        </w:rPr>
        <w:t xml:space="preserve">Nutrition (Academic)</w:t>
      </w:r>
    </w:p>
    <w:p>
      <w:pPr>
        <w:pStyle w:val="ListParagraph"/>
        <w:numPr>
          <w:ilvl w:val="0"/>
          <w:numId w:val="1"/>
        </w:numPr>
        <w:spacing w:after="40"/>
      </w:pPr>
      <w:r>
        <w:rPr>
          <w:color w:val="222222"/>
          <w:sz w:val="21"/>
          <w:szCs w:val="21"/>
        </w:rPr>
        <w:t xml:space="preserve">Organic Chemistry</w:t>
      </w:r>
    </w:p>
    <w:p>
      <w:pPr>
        <w:pStyle w:val="ListParagraph"/>
        <w:numPr>
          <w:ilvl w:val="0"/>
          <w:numId w:val="1"/>
        </w:numPr>
        <w:spacing w:after="40"/>
      </w:pPr>
      <w:r>
        <w:rPr>
          <w:color w:val="222222"/>
          <w:sz w:val="21"/>
          <w:szCs w:val="21"/>
        </w:rPr>
        <w:t xml:space="preserve">Pharmacology (Academic)</w:t>
      </w:r>
    </w:p>
    <w:p>
      <w:pPr>
        <w:pStyle w:val="ListParagraph"/>
        <w:numPr>
          <w:ilvl w:val="0"/>
          <w:numId w:val="1"/>
        </w:numPr>
        <w:spacing w:after="40"/>
      </w:pPr>
      <w:r>
        <w:rPr>
          <w:color w:val="222222"/>
          <w:sz w:val="21"/>
          <w:szCs w:val="21"/>
        </w:rPr>
        <w:t xml:space="preserve">Physics</w:t>
      </w:r>
    </w:p>
    <w:p>
      <w:pPr>
        <w:pStyle w:val="ListParagraph"/>
        <w:numPr>
          <w:ilvl w:val="0"/>
          <w:numId w:val="1"/>
        </w:numPr>
        <w:spacing w:after="40"/>
      </w:pPr>
      <w:r>
        <w:rPr>
          <w:color w:val="222222"/>
          <w:sz w:val="21"/>
          <w:szCs w:val="21"/>
        </w:rPr>
        <w:t xml:space="preserve">Psychology</w:t>
      </w:r>
    </w:p>
    <w:p>
      <w:pPr>
        <w:pStyle w:val="ListParagraph"/>
        <w:numPr>
          <w:ilvl w:val="0"/>
          <w:numId w:val="1"/>
        </w:numPr>
        <w:spacing w:after="40"/>
      </w:pPr>
      <w:r>
        <w:rPr>
          <w:color w:val="222222"/>
          <w:sz w:val="21"/>
          <w:szCs w:val="21"/>
        </w:rPr>
        <w:t xml:space="preserve">Sociology</w:t>
      </w:r>
    </w:p>
    <w:p>
      <w:pPr>
        <w:pStyle w:val="Heading2"/>
        <w:spacing w:after="60" w:before="180"/>
      </w:pPr>
      <w:r>
        <w:rPr>
          <w:b/>
          <w:bCs/>
          <w:color w:val="2E74B5"/>
        </w:rPr>
        <w:t xml:space="preserve">Preparation Plan</w:t>
      </w:r>
    </w:p>
    <w:p>
      <w:pPr>
        <w:pStyle w:val="ListParagraph"/>
        <w:numPr>
          <w:ilvl w:val="0"/>
          <w:numId w:val="1"/>
        </w:numPr>
        <w:spacing w:after="40"/>
      </w:pPr>
      <w:r>
        <w:rPr>
          <w:color w:val="222222"/>
          <w:sz w:val="21"/>
          <w:szCs w:val="21"/>
        </w:rPr>
        <w:t xml:space="preserve">Identify the exact NGL/Cengage textbook listed for your chosen subject and study from that edition.</w:t>
      </w:r>
    </w:p>
    <w:p>
      <w:pPr>
        <w:pStyle w:val="ListParagraph"/>
        <w:numPr>
          <w:ilvl w:val="0"/>
          <w:numId w:val="1"/>
        </w:numPr>
        <w:spacing w:after="40"/>
      </w:pPr>
      <w:r>
        <w:rPr>
          <w:color w:val="222222"/>
          <w:sz w:val="21"/>
          <w:szCs w:val="21"/>
        </w:rPr>
        <w:t xml:space="preserve">Because ATC tests are college-level, align prep with an equivalent AP or introductory college course.</w:t>
      </w:r>
    </w:p>
    <w:p>
      <w:pPr>
        <w:pStyle w:val="ListParagraph"/>
        <w:numPr>
          <w:ilvl w:val="0"/>
          <w:numId w:val="1"/>
        </w:numPr>
        <w:spacing w:after="40"/>
      </w:pPr>
      <w:r>
        <w:rPr>
          <w:color w:val="222222"/>
          <w:sz w:val="21"/>
          <w:szCs w:val="21"/>
        </w:rPr>
        <w:t xml:space="preserve">Practice with the subject's end-of-chapter questions and released item samples.</w:t>
      </w:r>
    </w:p>
    <w:p>
      <w:pPr>
        <w:pStyle w:val="ListParagraph"/>
        <w:numPr>
          <w:ilvl w:val="0"/>
          <w:numId w:val="1"/>
        </w:numPr>
        <w:spacing w:after="40"/>
      </w:pPr>
      <w:r>
        <w:rPr>
          <w:color w:val="222222"/>
          <w:sz w:val="21"/>
          <w:szCs w:val="21"/>
        </w:rPr>
        <w:t xml:space="preserve">For calculation subjects, practice with a basic 4-function + square-root calculator like the one provided.</w:t>
      </w:r>
    </w:p>
    <w:p>
      <w:pPr>
        <w:pStyle w:val="ListParagraph"/>
        <w:numPr>
          <w:ilvl w:val="0"/>
          <w:numId w:val="1"/>
        </w:numPr>
        <w:spacing w:after="40"/>
      </w:pPr>
      <w:r>
        <w:rPr>
          <w:color w:val="222222"/>
          <w:sz w:val="21"/>
          <w:szCs w:val="21"/>
        </w:rPr>
        <w:t xml:space="preserve">Pick a subject that overlaps a class you are already taking to maximize efficiency.</w:t>
      </w:r>
    </w:p>
    <w:p>
      <w:pPr>
        <w:spacing w:before="160"/>
      </w:pPr>
    </w:p>
    <w:p>
      <w:pPr>
        <w:spacing w:after="100"/>
      </w:pPr>
      <w:r>
        <w:rPr>
          <w:b/>
          <w:bCs/>
          <w:color w:val="1F3864"/>
          <w:sz w:val="21"/>
          <w:szCs w:val="21"/>
        </w:rPr>
        <w:t xml:space="preserve">Official guideline: </w:t>
      </w:r>
      <w:hyperlink w:history="1" r:id="rIdeawce_uja-lyuc9fgrcmi">
        <w:r>
          <w:rPr>
            <w:color w:val="0563C1"/>
            <w:sz w:val="21"/>
            <w:szCs w:val="21"/>
            <w:u w:val="single"/>
          </w:rPr>
          <w:t xml:space="preserve">Academic Testing Center guideline (hosa.org)</w:t>
        </w:r>
      </w:hyperlink>
    </w:p>
    <w:p>
      <w:pPr>
        <w:spacing w:after="100"/>
      </w:pPr>
      <w:r>
        <w:rPr>
          <w:color w:val="595959"/>
          <w:sz w:val="21"/>
          <w:szCs w:val="21"/>
        </w:rPr>
        <w:t xml:space="preserve">Note: HOSA updates guidelines yearly. Always verify against the current-year file.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wce_uja-lyuc9fgrcmi" Type="http://schemas.openxmlformats.org/officeDocument/2006/relationships/hyperlink" Target="https://hosa.org/guideline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2026-07-15T03:41:48.119Z</dcterms:created>
  <dcterms:modified xsi:type="dcterms:W3CDTF">2026-07-15T03:41:48.119Z</dcterms:modified>
</cp:coreProperties>
</file>

<file path=docProps/custom.xml><?xml version="1.0" encoding="utf-8"?>
<Properties xmlns="http://schemas.openxmlformats.org/officeDocument/2006/custom-properties" xmlns:vt="http://schemas.openxmlformats.org/officeDocument/2006/docPropsVTypes"/>
</file>