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95959"/>
          <w:sz w:val="18"/>
          <w:szCs w:val="18"/>
        </w:rPr>
        <w:t xml:space="preserve">HOSA – Future Health Professionals</w:t>
      </w:r>
    </w:p>
    <w:p>
      <w:pPr>
        <w:pStyle w:val="Heading1"/>
        <w:spacing w:after="100" w:before="200"/>
      </w:pPr>
      <w:r>
        <w:rPr>
          <w:b/>
          <w:bCs/>
          <w:color w:val="1F3864"/>
        </w:rPr>
        <w:t xml:space="preserve">Life Support Skills</w:t>
      </w:r>
    </w:p>
    <w:p>
      <w:pPr>
        <w:pBdr>
          <w:bottom w:val="single" w:color="2E74B5" w:sz="12" w:space="1"/>
        </w:pBdr>
        <w:spacing w:after="140"/>
      </w:pP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Category: </w:t>
      </w:r>
      <w:r>
        <w:rPr>
          <w:color w:val="222222"/>
          <w:sz w:val="21"/>
          <w:szCs w:val="21"/>
        </w:rPr>
        <w:t xml:space="preserve">Emergency Preparedness Event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Eligible divisions: </w:t>
      </w:r>
      <w:r>
        <w:rPr>
          <w:color w:val="222222"/>
          <w:sz w:val="21"/>
          <w:szCs w:val="21"/>
        </w:rPr>
        <w:t xml:space="preserve">Secondary (SS) &amp; Postsecondary/Collegiate (PSC)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Event type: </w:t>
      </w:r>
      <w:r>
        <w:rPr>
          <w:color w:val="222222"/>
          <w:sz w:val="21"/>
          <w:szCs w:val="21"/>
        </w:rPr>
        <w:t xml:space="preserve">Solo</w:t>
      </w:r>
    </w:p>
    <w:p>
      <w:pPr>
        <w:spacing w:after="60"/>
      </w:pPr>
      <w:r>
        <w:rPr>
          <w:b/>
          <w:bCs/>
          <w:color w:val="1F3864"/>
          <w:sz w:val="21"/>
          <w:szCs w:val="21"/>
        </w:rPr>
        <w:t xml:space="preserve">Data status: </w:t>
      </w:r>
      <w:r>
        <w:rPr>
          <w:color w:val="B26A00"/>
          <w:sz w:val="21"/>
          <w:szCs w:val="21"/>
        </w:rPr>
        <w:t xml:space="preserve">Format standard; confirm exact test specs in official PDF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Written Test Component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Round One: written test on life-support/first-aid knowledge; Round Two: skills demonstration.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Key Test Topics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CPR and AED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First aid and bleeding control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Choking and rescue breathing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Emergency scene safety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Scoring &amp; Advancement</w:t>
      </w:r>
    </w:p>
    <w:p>
      <w:pPr>
        <w:spacing w:after="100"/>
      </w:pPr>
      <w:r>
        <w:rPr>
          <w:color w:val="222222"/>
          <w:sz w:val="21"/>
          <w:szCs w:val="21"/>
        </w:rPr>
        <w:t xml:space="preserve">The written test typically serves as Round One (a qualifier); final placement combines the test with the event's performance/skill round, except for pure-exam events which are scored on the test alone.</w:t>
      </w:r>
    </w:p>
    <w:p>
      <w:pPr>
        <w:pStyle w:val="Heading2"/>
        <w:spacing w:after="60" w:before="180"/>
      </w:pPr>
      <w:r>
        <w:rPr>
          <w:b/>
          <w:bCs/>
          <w:color w:val="2E74B5"/>
        </w:rPr>
        <w:t xml:space="preserve">Preparation Plan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Download the official guideline and note the test's exact format and references.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Study the topics above; for parliamentary-procedure events use NAP materials.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Take timed practice tests.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If the event has a second round, prepare that component in parallel.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222222"/>
          <w:sz w:val="21"/>
          <w:szCs w:val="21"/>
        </w:rPr>
        <w:t xml:space="preserve">Review the General Rules &amp; Regulations and Dress Code appendices.</w:t>
      </w:r>
    </w:p>
    <w:p>
      <w:pPr>
        <w:spacing w:before="160"/>
      </w:pPr>
    </w:p>
    <w:p>
      <w:pPr>
        <w:spacing w:after="100"/>
      </w:pPr>
      <w:r>
        <w:rPr>
          <w:b/>
          <w:bCs/>
          <w:color w:val="1F3864"/>
          <w:sz w:val="21"/>
          <w:szCs w:val="21"/>
        </w:rPr>
        <w:t xml:space="preserve">Official guideline: </w:t>
      </w:r>
      <w:hyperlink w:history="1" r:id="rIdzzhaywh_qsng-oglnre0f">
        <w:r>
          <w:rPr>
            <w:color w:val="0563C1"/>
            <w:sz w:val="21"/>
            <w:szCs w:val="21"/>
            <w:u w:val="single"/>
          </w:rPr>
          <w:t xml:space="preserve">Life Support Skills guideline (hosa.org)</w:t>
        </w:r>
      </w:hyperlink>
    </w:p>
    <w:p>
      <w:pPr>
        <w:spacing w:after="100"/>
      </w:pPr>
      <w:r>
        <w:rPr>
          <w:color w:val="595959"/>
          <w:sz w:val="21"/>
          <w:szCs w:val="21"/>
        </w:rPr>
        <w:t xml:space="preserve">Note: HOSA updates guidelines yearly; states may modify events. Verify against the current-year file.</w:t>
      </w:r>
    </w:p>
    <w:sectPr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zzhaywh_qsng-oglnre0f" Type="http://schemas.openxmlformats.org/officeDocument/2006/relationships/hyperlink" Target="https://hosa.org/guidelines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2026-07-15T04:09:41.214Z</dcterms:created>
  <dcterms:modified xsi:type="dcterms:W3CDTF">2026-07-15T04:09:41.214Z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