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Parliamentary Procedure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Teamwork Event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Team of 4-6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2E7D32"/>
          <w:sz w:val="21"/>
          <w:szCs w:val="21"/>
        </w:rPr>
        <w:t xml:space="preserve">Test component verified against 2025–2026 sources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Written Test Component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Round One: written test on parliamentary procedure (National Association of Parliamentarians); advancing teams perform a live demonstration (verified).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Motions and their precedence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Debate and voting rules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Handling business and minutes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NAP basic rules of order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Scoring &amp; Advancement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The written test typically serves as Round One (a qualifier); final placement combines the test with the event's performance/skill round, except for pure-exam events which are scored on the test alone.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the official guideline and note the test's exact format and references.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the topics above; for parliamentary-procedure events use NAP materials.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If the event has a second round, prepare that component in parallel.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u37uro5ls2bb2syqj2axm">
        <w:r>
          <w:rPr>
            <w:color w:val="0563C1"/>
            <w:sz w:val="21"/>
            <w:szCs w:val="21"/>
            <w:u w:val="single"/>
          </w:rPr>
          <w:t xml:space="preserve">Parliamentary Procedure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yearly; states may modify events.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37uro5ls2bb2syqj2axm" Type="http://schemas.openxmlformats.org/officeDocument/2006/relationships/hyperlink" Target="https://hosa.org/guideline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2026-07-15T04:09:41.282Z</dcterms:created>
  <dcterms:modified xsi:type="dcterms:W3CDTF">2026-07-15T04:09:41.282Z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