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FBLA – Future Business Leaders of America (High School)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Introduction to Supply Chain Management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category: </w:t>
      </w:r>
      <w:r>
        <w:rPr>
          <w:color w:val="222222"/>
          <w:sz w:val="21"/>
          <w:szCs w:val="21"/>
        </w:rPr>
        <w:t xml:space="preserve">Objective Test (test-only)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grades: </w:t>
      </w:r>
      <w:r>
        <w:rPr>
          <w:color w:val="222222"/>
          <w:sz w:val="21"/>
          <w:szCs w:val="21"/>
        </w:rPr>
        <w:t xml:space="preserve">9–10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B26A00"/>
          <w:sz w:val="21"/>
          <w:szCs w:val="21"/>
        </w:rPr>
        <w:t xml:space="preserve">Standard FBLA objective-test format; confirm exact timing &amp; competencies in official guideline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Format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100-item objective (multiple-choice) test, taken online at the qualifying conference. Timing is approximately 50–60 minutes — confirm the exact limit in the current guideline. Top scorers earn recognition/advancement; ties broken per event rules.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Key Test Topics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Supply chain fundamentals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Logistics and transportation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Inventory management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Procurement and sourcing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Warehousing and distribution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References &amp; Alignment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Questions align to the official FBLA competencies for this event and standard high-school business/subject curriculum. The event guideline lists the specific competencies and any recommended resources — study directly from those.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Pull the official event guideline and note its competency list and any recommended references.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Study the topic areas above; build flashcards for terminology and formulas.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Take timed 100-question practice tests to build speed.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Review released/sample items and align to the competencies.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Re-read the FBLA competitive event general rules before competing.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kmhbkyomkcrzf_bc4damb">
        <w:r>
          <w:rPr>
            <w:color w:val="0563C1"/>
            <w:sz w:val="21"/>
            <w:szCs w:val="21"/>
            <w:u w:val="single"/>
          </w:rPr>
          <w:t xml:space="preserve">Introduction to Supply Chain Management — FBLA competitive events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FBLA updates guidelines yearly and states may vary. Verify against the current-year guideline.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mhbkyomkcrzf_bc4damb" Type="http://schemas.openxmlformats.org/officeDocument/2006/relationships/hyperlink" Target="https://www.fbla.org/high-school/competitive-event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2026-07-15T20:05:36.282Z</dcterms:created>
  <dcterms:modified xsi:type="dcterms:W3CDTF">2026-07-15T20:05:36.282Z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