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595959"/>
          <w:sz w:val="18"/>
          <w:szCs w:val="18"/>
        </w:rPr>
        <w:t xml:space="preserve">FBLA – Future Business Leaders of America (High School)</w:t>
      </w:r>
    </w:p>
    <w:p>
      <w:pPr>
        <w:pStyle w:val="Heading1"/>
        <w:spacing w:after="100" w:before="200"/>
      </w:pPr>
      <w:r>
        <w:rPr>
          <w:b/>
          <w:bCs/>
          <w:color w:val="1F3864"/>
        </w:rPr>
        <w:t xml:space="preserve">Journalism</w:t>
      </w:r>
    </w:p>
    <w:p>
      <w:pPr>
        <w:pBdr>
          <w:bottom w:val="single" w:color="2E74B5" w:sz="12" w:space="1"/>
        </w:pBdr>
        <w:spacing w:after="140"/>
      </w:pP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Event category: </w:t>
      </w:r>
      <w:r>
        <w:rPr>
          <w:color w:val="222222"/>
          <w:sz w:val="21"/>
          <w:szCs w:val="21"/>
        </w:rPr>
        <w:t xml:space="preserve">Objective Test (test-only)</w:t>
      </w: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Eligible grades: </w:t>
      </w:r>
      <w:r>
        <w:rPr>
          <w:color w:val="222222"/>
          <w:sz w:val="21"/>
          <w:szCs w:val="21"/>
        </w:rPr>
        <w:t xml:space="preserve">9–12</w:t>
      </w: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Data status: </w:t>
      </w:r>
      <w:r>
        <w:rPr>
          <w:color w:val="B26A00"/>
          <w:sz w:val="21"/>
          <w:szCs w:val="21"/>
        </w:rPr>
        <w:t xml:space="preserve">Standard FBLA objective-test format; confirm exact timing &amp; competencies in official guideline</w:t>
      </w:r>
    </w:p>
    <w:p>
      <w:pPr>
        <w:pStyle w:val="Heading2"/>
        <w:spacing w:after="60" w:before="160"/>
      </w:pPr>
      <w:r>
        <w:rPr>
          <w:b/>
          <w:bCs/>
          <w:color w:val="2E74B5"/>
        </w:rPr>
        <w:t xml:space="preserve">Format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A 100-item objective (multiple-choice) test, taken online at the qualifying conference. Timing is approximately 50–60 minutes — confirm the exact limit in the current guideline. Top scorers earn recognition/advancement; ties broken per event rules.</w:t>
      </w:r>
    </w:p>
    <w:p>
      <w:pPr>
        <w:pStyle w:val="Heading2"/>
        <w:spacing w:after="60" w:before="160"/>
      </w:pPr>
      <w:r>
        <w:rPr>
          <w:b/>
          <w:bCs/>
          <w:color w:val="2E74B5"/>
        </w:rPr>
        <w:t xml:space="preserve">Key Test Topics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News writing and reporting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Editing and journalistic style (AP)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Media law and ethics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Interviewing techniques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Layout and digital media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Fact-checking and sources</w:t>
      </w:r>
    </w:p>
    <w:p>
      <w:pPr>
        <w:pStyle w:val="Heading2"/>
        <w:spacing w:after="60" w:before="160"/>
      </w:pPr>
      <w:r>
        <w:rPr>
          <w:b/>
          <w:bCs/>
          <w:color w:val="2E74B5"/>
        </w:rPr>
        <w:t xml:space="preserve">References &amp; Alignment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Questions align to the official FBLA competencies for this event and standard high-school business/subject curriculum. The event guideline lists the specific competencies and any recommended resources — study directly from those.</w:t>
      </w:r>
    </w:p>
    <w:p>
      <w:pPr>
        <w:pStyle w:val="Heading2"/>
        <w:spacing w:after="60" w:before="160"/>
      </w:pPr>
      <w:r>
        <w:rPr>
          <w:b/>
          <w:bCs/>
          <w:color w:val="2E74B5"/>
        </w:rPr>
        <w:t xml:space="preserve">Preparation Plan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Pull the official event guideline and note its competency list and any recommended references.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Study the topic areas above; build flashcards for terminology and formulas.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Take timed 100-question practice tests to build speed.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Review released/sample items and align to the competencies.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Re-read the FBLA competitive event general rules before competing.</w:t>
      </w:r>
    </w:p>
    <w:p>
      <w:pPr>
        <w:spacing w:before="160"/>
      </w:pPr>
    </w:p>
    <w:p>
      <w:pPr>
        <w:spacing w:after="100"/>
      </w:pPr>
      <w:r>
        <w:rPr>
          <w:b/>
          <w:bCs/>
          <w:color w:val="1F3864"/>
          <w:sz w:val="21"/>
          <w:szCs w:val="21"/>
        </w:rPr>
        <w:t xml:space="preserve">Official guideline: </w:t>
      </w:r>
      <w:hyperlink w:history="1" r:id="rIdi2o03-fg69p9t0lnzbbay">
        <w:r>
          <w:rPr>
            <w:color w:val="0563C1"/>
            <w:sz w:val="21"/>
            <w:szCs w:val="21"/>
            <w:u w:val="single"/>
          </w:rPr>
          <w:t xml:space="preserve">Journalism — FBLA competitive events</w:t>
        </w:r>
      </w:hyperlink>
    </w:p>
    <w:p>
      <w:pPr>
        <w:spacing w:after="100"/>
      </w:pPr>
      <w:r>
        <w:rPr>
          <w:color w:val="595959"/>
          <w:sz w:val="21"/>
          <w:szCs w:val="21"/>
        </w:rPr>
        <w:t xml:space="preserve">Note: FBLA updates guidelines yearly and states may vary. Verify against the current-year guideline.</w:t>
      </w:r>
    </w:p>
    <w:sectPr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rPr>
      <w:b/>
      <w:bCs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i2o03-fg69p9t0lnzbbay" Type="http://schemas.openxmlformats.org/officeDocument/2006/relationships/hyperlink" Target="https://www.fbla.org/high-school/competitive-events/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2026-07-15T20:05:36.292Z</dcterms:created>
  <dcterms:modified xsi:type="dcterms:W3CDTF">2026-07-15T20:05:36.292Z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