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FBLA – Future Business Leaders of America (High School)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Project Management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category: </w:t>
      </w:r>
      <w:r>
        <w:rPr>
          <w:color w:val="222222"/>
          <w:sz w:val="21"/>
          <w:szCs w:val="21"/>
        </w:rPr>
        <w:t xml:space="preserve">Objective Test (test-only)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grades: </w:t>
      </w:r>
      <w:r>
        <w:rPr>
          <w:color w:val="222222"/>
          <w:sz w:val="21"/>
          <w:szCs w:val="21"/>
        </w:rPr>
        <w:t xml:space="preserve">9–12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Standard FBLA objective-test format; confirm exact timing &amp; competencies in official guideline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Format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100-item objective (multiple-choice) test, taken online at the qualifying conference. Timing is approximately 50–60 minutes — confirm the exact limit in the current guideline. Top scorers earn recognition/advancement; ties broken per event rules.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Project life cycle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Scope, time, and cost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Risk and quality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Team and stakeholder management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Methodologies (Agile, Waterfall)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Project tools and documentation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References &amp; Alignment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Questions align to the official FBLA competencies for this event and standard high-school business/subject curriculum. The event guideline lists the specific competencies and any recommended resources — study directly from those.</w:t>
      </w:r>
    </w:p>
    <w:p>
      <w:pPr>
        <w:pStyle w:val="Heading2"/>
        <w:spacing w:after="60" w:before="16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Pull the official event guideline and note its competency list and any recommended references.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Study the topic areas above; build flashcards for terminology and formulas.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Take timed 100-question practice tests to build speed.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Review released/sample items and align to the competencies.</w:t>
      </w:r>
    </w:p>
    <w:p>
      <w:pPr>
        <w:pStyle w:val="ListParagraph"/>
        <w:numPr>
          <w:ilvl w:val="0"/>
          <w:numId w:val="1"/>
        </w:numPr>
        <w:spacing w:after="36"/>
      </w:pPr>
      <w:r>
        <w:rPr>
          <w:color w:val="222222"/>
          <w:sz w:val="21"/>
          <w:szCs w:val="21"/>
        </w:rPr>
        <w:t xml:space="preserve">Re-read the FBLA competitive event general rules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vvuv3y7zrp6teanxdfwun">
        <w:r>
          <w:rPr>
            <w:color w:val="0563C1"/>
            <w:sz w:val="21"/>
            <w:szCs w:val="21"/>
            <w:u w:val="single"/>
          </w:rPr>
          <w:t xml:space="preserve">Project Management — FBLA competitive events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FBLA updates guidelines yearly and states may vary. Verify against the current-year guideline.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uv3y7zrp6teanxdfwun" Type="http://schemas.openxmlformats.org/officeDocument/2006/relationships/hyperlink" Target="https://www.fbla.org/high-school/competitive-event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2026-07-15T20:05:36.327Z</dcterms:created>
  <dcterms:modified xsi:type="dcterms:W3CDTF">2026-07-15T20:05:36.327Z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