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FBLA – Future Business Leaders of America (High School)</w:t>
      </w:r>
    </w:p>
    <w:p>
      <w:pPr>
        <w:pStyle w:val="Heading1"/>
        <w:spacing w:after="100" w:before="200"/>
      </w:pPr>
      <w:r>
        <w:rPr>
          <w:b/>
          <w:bCs/>
          <w:color w:val="1F3864"/>
        </w:rPr>
        <w:t xml:space="preserve">International Business</w:t>
      </w:r>
    </w:p>
    <w:p>
      <w:pPr>
        <w:pBdr>
          <w:bottom w:val="single" w:color="2E74B5" w:sz="12" w:space="1"/>
        </w:pBdr>
        <w:spacing w:after="140"/>
      </w:pP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Event category: </w:t>
      </w:r>
      <w:r>
        <w:rPr>
          <w:color w:val="222222"/>
          <w:sz w:val="21"/>
          <w:szCs w:val="21"/>
        </w:rPr>
        <w:t xml:space="preserve">Role Play (HYBRID: objective test + role play)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Eligible grades: </w:t>
      </w:r>
      <w:r>
        <w:rPr>
          <w:color w:val="222222"/>
          <w:sz w:val="21"/>
          <w:szCs w:val="21"/>
        </w:rPr>
        <w:t xml:space="preserve">9–12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Data status: </w:t>
      </w:r>
      <w:r>
        <w:rPr>
          <w:color w:val="2E7D32"/>
          <w:sz w:val="21"/>
          <w:szCs w:val="21"/>
        </w:rPr>
        <w:t xml:space="preserve">Hybrid format verified (test qualifies → role play); confirm timing &amp; competencies in official guideline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Format (two parts)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Part 1 — Objective Test: a 100-item preliminary objective test on the event's content; the score determines which competitors/teams advance. Part 2 — Role Play: competitors receive an interactive scenario, get preparation time (commonly ~20 minutes) and present to judges (commonly ~7 minutes); judges may ask questions. No outside reference materials/props beyond what is permitted.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Part 1 — Objective Test Topics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Global trade and economics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Cultural awareness and etiquette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Currency and international finance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Trade policy and agreements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Global marketing strategy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Part 2 — Role Play (for context)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An interactive scenario in which competitors apply the same content to a realistic business situation and present a solution to judges. Scored on knowledge, problem-solving, delivery, and professionalism per the event rating sheet.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References &amp; Alignment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Aligned to the official FBLA competencies for this event. Study the guideline's competency list for the test, and practice role plays against the official rating sheet.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Preparation Plan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Master the Part 1 topics — the test is the gate to the role play.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Take timed objective practice tests on the topics above.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Practice role plays: read a scenario, prep in ~20 min, present in ~7 min against the rating sheet.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Drill the FBLA indicators the judges score (analysis, recommendation, delivery).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Review the general rules and dress code before competing.</w:t>
      </w:r>
    </w:p>
    <w:p>
      <w:pPr>
        <w:spacing w:before="160"/>
      </w:pP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Official guideline: </w:t>
      </w:r>
      <w:hyperlink w:history="1" r:id="rIdcofqjiqbmcy5x_3vu0x5j">
        <w:r>
          <w:rPr>
            <w:color w:val="0563C1"/>
            <w:sz w:val="21"/>
            <w:szCs w:val="21"/>
            <w:u w:val="single"/>
          </w:rPr>
          <w:t xml:space="preserve">International Business — FBLA competitive events</w:t>
        </w:r>
      </w:hyperlink>
    </w:p>
    <w:p>
      <w:pPr>
        <w:spacing w:after="100"/>
      </w:pPr>
      <w:r>
        <w:rPr>
          <w:color w:val="595959"/>
          <w:sz w:val="21"/>
          <w:szCs w:val="21"/>
        </w:rPr>
        <w:t xml:space="preserve">Note: FBLA updates guidelines yearly and states may vary. Verify against the current-year guideline.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ofqjiqbmcy5x_3vu0x5j" Type="http://schemas.openxmlformats.org/officeDocument/2006/relationships/hyperlink" Target="https://www.fbla.org/high-school/competitive-events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2026-07-15T20:05:36.419Z</dcterms:created>
  <dcterms:modified xsi:type="dcterms:W3CDTF">2026-07-15T20:05:36.419Z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