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Marketing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Role Play (HYBRID: objective test + role play)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(test qualifies → role play); confirm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preliminary objective test on the event's content; the score determines which competitors/teams advance. Part 2 — Role Play: competitors receive an interactive scenario, get preparation time (commonly ~20 minutes) and present to judges (commonly ~7 minutes); judges may ask questions. No outside reference materials/props beyond what is permitted.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The marketing mix and strategy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Market research and segmentation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Consumer behavior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Promotion and selling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Digital and social marketing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Role Play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An interactive scenario in which competitors apply the same content to a realistic business situation and present a solution to judges. Scored on knowledge, problem-solving, delivery, and professionalism per the event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Aligned to the official FBLA competencies for this event. Study the guideline's competency list for the test, and practice role plays against the official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Master the Part 1 topics — the test is the gate to the role play.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objective practice tests on the topics above.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role plays: read a scenario, prep in ~20 min, present in ~7 min against the rating sheet.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Drill the FBLA indicators the judges score (analysis, recommendation, delivery).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and dress code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1t1cg2ngwadbcv1dv-ras">
        <w:r>
          <w:rPr>
            <w:color w:val="0563C1"/>
            <w:sz w:val="21"/>
            <w:szCs w:val="21"/>
            <w:u w:val="single"/>
          </w:rPr>
          <w:t xml:space="preserve">Marketing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t1cg2ngwadbcv1dv-ras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2026-07-15T20:05:36.434Z</dcterms:created>
  <dcterms:modified xsi:type="dcterms:W3CDTF">2026-07-15T20:05:36.434Z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