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FBLA – Future Business Leaders of America (High School)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Sports &amp; Entertainment Management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category: </w:t>
      </w:r>
      <w:r>
        <w:rPr>
          <w:color w:val="222222"/>
          <w:sz w:val="21"/>
          <w:szCs w:val="21"/>
        </w:rPr>
        <w:t xml:space="preserve">Role Play (HYBRID: objective test + role play)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grades: </w:t>
      </w:r>
      <w:r>
        <w:rPr>
          <w:color w:val="222222"/>
          <w:sz w:val="21"/>
          <w:szCs w:val="21"/>
        </w:rPr>
        <w:t xml:space="preserve">9–12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2E7D32"/>
          <w:sz w:val="21"/>
          <w:szCs w:val="21"/>
        </w:rPr>
        <w:t xml:space="preserve">Hybrid format verified (test qualifies → role play); confirm timing &amp; competencies in official guideline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Format (two parts)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Part 1 — Objective Test: a 100-item preliminary objective test on the event's content; the score determines which competitors/teams advance. Part 2 — Role Play: competitors receive an interactive scenario, get preparation time (commonly ~20 minutes) and present to judges (commonly ~7 minutes); judges may ask questions. No outside reference materials/props beyond what is permitted.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Part 1 — Objective Test Topics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Sports/entertainment marketing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Event and venue management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Sponsorship and endorsements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Promotion and media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Finance and contracts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Part 2 — Role Play (for context)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An interactive scenario in which competitors apply the same content to a realistic business situation and present a solution to judges. Scored on knowledge, problem-solving, delivery, and professionalism per the event rating sheet.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References &amp; Alignment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Aligned to the official FBLA competencies for this event. Study the guideline's competency list for the test, and practice role plays against the official rating sheet.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Master the Part 1 topics — the test is the gate to the role play.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Take timed objective practice tests on the topics above.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Practice role plays: read a scenario, prep in ~20 min, present in ~7 min against the rating sheet.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Drill the FBLA indicators the judges score (analysis, recommendation, delivery).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Review the general rules and dress code before competing.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geqndooj_3xxvtzhtva7u">
        <w:r>
          <w:rPr>
            <w:color w:val="0563C1"/>
            <w:sz w:val="21"/>
            <w:szCs w:val="21"/>
            <w:u w:val="single"/>
          </w:rPr>
          <w:t xml:space="preserve">Sports &amp; Entertainment Management — FBLA competitive events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FBLA updates guidelines yearly and states may vary. Verify against the current-year guideline.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eqndooj_3xxvtzhtva7u" Type="http://schemas.openxmlformats.org/officeDocument/2006/relationships/hyperlink" Target="https://www.fbla.org/high-school/competitive-event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2026-07-15T20:05:36.459Z</dcterms:created>
  <dcterms:modified xsi:type="dcterms:W3CDTF">2026-07-15T20:05:36.459Z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