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1F3864"/>
          <w:sz w:val="32"/>
          <w:szCs w:val="32"/>
        </w:rPr>
        <w:t xml:space="preserve">FBLA Events With No Objective Test</w:t>
      </w:r>
    </w:p>
    <w:p>
      <w:pPr>
        <w:spacing w:after="200"/>
        <w:jc w:val="center"/>
      </w:pPr>
      <w:r>
        <w:rPr>
          <w:color w:val="595959"/>
          <w:sz w:val="20"/>
          <w:szCs w:val="20"/>
        </w:rPr>
        <w:t xml:space="preserve">Presentation, interview, and chapter events — included for full coverage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These events are scored on a presentation, produced project, interview, or chapter activity — not an objective test. They are listed here so all 76 High School events are accounted for. (Presentation events may have a report/prejudged component but no objective test.)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Presentation events (29)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Broadcast Journalism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Business Ethics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Business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Career Portfolio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Coding &amp; Programming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Computer Game &amp; Simulation Programming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Data Analysis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Digital Animation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Digital Video Production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Event Planning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Financial Planning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Financial Statement Analysis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Future Business Educator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Future Business Leader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Graphic Design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Impromptu Speaking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Introduction to Business Presentation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Introduction to Programming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Introduction to Public Speaking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Introduction to Social Media Strategy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Public Service Announcement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Public Speaking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Sales Presentation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Social Media Strategies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Supply Chain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Visual Design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Website Coding &amp; Development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Website Design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Interview events (1)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Job Interview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Chapter events (2)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Community Service Project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Local Chapter Annual Business Report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ko5ps64wpcppzu5y0fitm">
        <w:r>
          <w:rPr>
            <w:color w:val="0563C1"/>
            <w:sz w:val="21"/>
            <w:szCs w:val="21"/>
            <w:u w:val="single"/>
          </w:rPr>
          <w:t xml:space="preserve">All FBLA HS competitive events</w:t>
        </w:r>
      </w:hyperlink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o5ps64wpcppzu5y0fitm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2026-07-15T20:05:36.483Z</dcterms:created>
  <dcterms:modified xsi:type="dcterms:W3CDTF">2026-07-15T20:05:36.483Z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