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32.gif" ContentType="image/gif"/>
  <Override PartName="/word/media/rId34.mp4" ContentType="video/mp4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Module2_RMarkdown</w:t>
      </w:r>
    </w:p>
    <w:p>
      <w:pPr>
        <w:pStyle w:val="Author"/>
      </w:pPr>
      <w:r>
        <w:t xml:space="preserve">Soorma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  <w:r>
        <w:t xml:space="preserve"> </w:t>
      </w:r>
      <w:r>
        <w:t xml:space="preserve">Link to coursera</w:t>
      </w:r>
      <w:r>
        <w:t xml:space="preserve"> </w:t>
      </w:r>
      <w:hyperlink r:id="rId23">
        <w:r>
          <w:rPr>
            <w:rStyle w:val="Hyperlink"/>
          </w:rPr>
          <w:t xml:space="preserve">COURSERA</w:t>
        </w:r>
      </w:hyperlink>
    </w:p>
    <w:p>
      <w:pPr>
        <w:pStyle w:val="SourceCode"/>
      </w:pPr>
      <w:r>
        <w:rPr>
          <w:rStyle w:val="VerbatimChar"/>
        </w:rPr>
        <w:t xml:space="preserve">mean(seq(1:3))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_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_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7" w:name="insert-table"/>
      <w:bookmarkEnd w:id="27"/>
      <w:r>
        <w:t xml:space="preserve">Insert table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Cars</w:t>
      </w:r>
    </w:p>
    <w:tbl>
      <w:tblPr>
        <w:tblStyle w:val="TableNormal"/>
        <w:tblW w:type="pct" w:w="0.0"/>
        <w:tblLook w:firstRow="1"/>
        <w:tblCaption w:val="Ca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8" w:name="insert-equations"/>
      <w:bookmarkEnd w:id="28"/>
      <w:r>
        <w:t xml:space="preserve">Insert equations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FirstParagraph"/>
      </w:pPr>
      <w:r>
        <w:t xml:space="preserve">## Insert images</w:t>
      </w:r>
    </w:p>
    <w:p>
      <w:pPr>
        <w:pStyle w:val="BodyText"/>
      </w:pPr>
      <w:r>
        <w:t xml:space="preserve">Here is an image inserted</w:t>
      </w:r>
    </w:p>
    <w:p>
      <w:pPr>
        <w:pStyle w:val="FigureWithCaption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BodyText"/>
      </w:pPr>
      <w:r>
        <w:t xml:space="preserve">Here is R logo</w:t>
      </w:r>
      <w:r>
        <w:t xml:space="preserve"> </w:t>
      </w:r>
      <w:r>
        <w:t xml:space="preserve">R Logo</w:t>
      </w:r>
    </w:p>
    <w:p>
      <w:pPr>
        <w:pStyle w:val="Heading2"/>
      </w:pPr>
      <w:bookmarkStart w:id="31" w:name="insert-gif"/>
      <w:bookmarkEnd w:id="31"/>
      <w:r>
        <w:t xml:space="preserve">Insert GIF</w:t>
      </w:r>
    </w:p>
    <w:p>
      <w:pPr>
        <w:pStyle w:val="FigureWithCaption"/>
      </w:pPr>
      <w:r>
        <w:drawing>
          <wp:inline>
            <wp:extent cx="3810000" cy="3810000"/>
            <wp:effectExtent b="0" l="0" r="0" t="0"/>
            <wp:docPr descr="Sunstar_GIF" title="" id="1" name="Picture"/>
            <a:graphic>
              <a:graphicData uri="http://schemas.openxmlformats.org/drawingml/2006/picture">
                <pic:pic>
                  <pic:nvPicPr>
                    <pic:cNvPr descr="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Sunstar_GIF</w:t>
      </w:r>
    </w:p>
    <w:p>
      <w:pPr>
        <w:pStyle w:val="Heading2"/>
      </w:pPr>
      <w:bookmarkStart w:id="33" w:name="insert-video"/>
      <w:bookmarkEnd w:id="33"/>
      <w:r>
        <w:t xml:space="preserve">Insert video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Sunstar_video" title="" id="1" name="Picture"/>
            <a:graphic>
              <a:graphicData uri="http://schemas.openxmlformats.org/drawingml/2006/picture">
                <pic:pic>
                  <pic:nvPicPr>
                    <pic:cNvPr descr="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Sunstar_video</w:t>
      </w:r>
    </w:p>
    <w:p>
      <w:pPr>
        <w:pStyle w:val="Heading2"/>
      </w:pPr>
      <w:bookmarkStart w:id="35" w:name="insert-text-with-some-footnotes"/>
      <w:bookmarkEnd w:id="35"/>
      <w:r>
        <w:t xml:space="preserve">Insert text with some footnotes</w:t>
      </w:r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7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edc3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70f1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2" Target="media/rId32.gif" /><Relationship Type="http://schemas.openxmlformats.org/officeDocument/2006/relationships/image" Id="rId34" Target="media/rId34.mp4" /><Relationship Type="http://schemas.openxmlformats.org/officeDocument/2006/relationships/image" Id="rId29" Target="media/rId29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https://www.coursera.org/learn/reproducible-templates-analysis/lecture/61zBa/r-markdown-synta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https://www.coursera.org/learn/reproducible-templates-analysis/lecture/61zBa/r-markdown-synta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Module2_RMarkdown</dc:title>
  <dc:creator>Soorma</dc:creator>
  <dcterms:created xsi:type="dcterms:W3CDTF">2018-10-14T05:52:53Z</dcterms:created>
  <dcterms:modified xsi:type="dcterms:W3CDTF">2018-10-14T05:52:53Z</dcterms:modified>
</cp:coreProperties>
</file>